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69CA" w14:textId="4C3A12C0" w:rsidR="008B3A5E" w:rsidRPr="00C623AF" w:rsidRDefault="00C623AF" w:rsidP="00C623AF">
      <w:pPr>
        <w:jc w:val="both"/>
        <w:rPr>
          <w:b/>
          <w:bCs/>
          <w:color w:val="000000"/>
          <w:lang w:val="en-US"/>
        </w:rPr>
      </w:pPr>
      <w:r w:rsidRPr="00C623AF">
        <w:rPr>
          <w:b/>
          <w:bCs/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="008B3A5E" w:rsidRPr="00C213FE">
        <w:rPr>
          <w:b/>
          <w:bCs/>
          <w:color w:val="000000"/>
          <w:u w:val="single"/>
          <w:lang w:val="en-US"/>
        </w:rPr>
        <w:t>Titel:</w:t>
      </w:r>
    </w:p>
    <w:p w14:paraId="07DB2357" w14:textId="06730DEC" w:rsidR="001F7B6A" w:rsidRDefault="00476644" w:rsidP="001F7B6A">
      <w:pPr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Youth Migration &amp; Rural-Urban Agri-Food Networks in </w:t>
      </w:r>
      <w:r w:rsidR="00F2631B">
        <w:rPr>
          <w:b/>
          <w:bCs/>
          <w:color w:val="000000"/>
          <w:lang w:val="en-US"/>
        </w:rPr>
        <w:t>Southeast Asia</w:t>
      </w:r>
    </w:p>
    <w:p w14:paraId="4FCE7798" w14:textId="77777777" w:rsidR="00E8063E" w:rsidRDefault="00E8063E" w:rsidP="00E8063E">
      <w:pPr>
        <w:spacing w:after="0"/>
        <w:jc w:val="both"/>
        <w:rPr>
          <w:b/>
          <w:bCs/>
          <w:color w:val="000000"/>
          <w:lang w:val="en-US"/>
        </w:rPr>
      </w:pPr>
    </w:p>
    <w:p w14:paraId="273AE90C" w14:textId="49084F19" w:rsidR="008B3A5E" w:rsidRPr="00C213FE" w:rsidRDefault="009D6F89" w:rsidP="001F7B6A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u w:val="single"/>
          <w:lang w:val="en-US"/>
        </w:rPr>
      </w:pPr>
      <w:r w:rsidRPr="00C213FE">
        <w:rPr>
          <w:b/>
          <w:bCs/>
          <w:color w:val="000000"/>
          <w:u w:val="single"/>
          <w:lang w:val="en-US"/>
        </w:rPr>
        <w:t>C</w:t>
      </w:r>
      <w:r w:rsidR="008B3A5E" w:rsidRPr="00C213FE">
        <w:rPr>
          <w:b/>
          <w:bCs/>
          <w:color w:val="000000"/>
          <w:u w:val="single"/>
          <w:lang w:val="en-US"/>
        </w:rPr>
        <w:t>onveners:</w:t>
      </w:r>
    </w:p>
    <w:p w14:paraId="0700BDF9" w14:textId="14752FCC" w:rsidR="008B3A5E" w:rsidRDefault="008B3A5E" w:rsidP="001F7B6A">
      <w:pPr>
        <w:jc w:val="both"/>
        <w:rPr>
          <w:color w:val="000000"/>
          <w:lang w:val="en-US"/>
        </w:rPr>
      </w:pPr>
      <w:r w:rsidRPr="008B3A5E">
        <w:rPr>
          <w:b/>
          <w:bCs/>
          <w:color w:val="000000"/>
          <w:lang w:val="en-US"/>
        </w:rPr>
        <w:t>Padmanabhan, Martina</w:t>
      </w:r>
      <w:r>
        <w:rPr>
          <w:color w:val="000000"/>
          <w:lang w:val="en-US"/>
        </w:rPr>
        <w:t>, Prof. Dr., Chair of Critical Development Studies – Southeast Asia, University of Passau, Germany,</w:t>
      </w:r>
      <w:r w:rsidR="009D6F89">
        <w:rPr>
          <w:color w:val="000000"/>
          <w:lang w:val="en-US"/>
        </w:rPr>
        <w:t xml:space="preserve"> martina.padmanbhan@uni-passau.de</w:t>
      </w:r>
      <w:r>
        <w:rPr>
          <w:color w:val="000000"/>
          <w:lang w:val="en-US"/>
        </w:rPr>
        <w:t xml:space="preserve"> </w:t>
      </w:r>
    </w:p>
    <w:p w14:paraId="60134CAE" w14:textId="5CD7283B" w:rsidR="008B3A5E" w:rsidRDefault="008B3A5E" w:rsidP="001F7B6A">
      <w:pPr>
        <w:jc w:val="both"/>
        <w:rPr>
          <w:color w:val="000000"/>
          <w:lang w:val="en-US"/>
        </w:rPr>
      </w:pPr>
      <w:r w:rsidRPr="00290ACE">
        <w:rPr>
          <w:color w:val="000000"/>
          <w:lang w:val="en-US"/>
        </w:rPr>
        <w:t>Ehlert, Judith</w:t>
      </w:r>
      <w:r>
        <w:rPr>
          <w:color w:val="000000"/>
          <w:lang w:val="en-US"/>
        </w:rPr>
        <w:t xml:space="preserve">, Dr., Chair of Critical Development Studies – Southeast Asia, Faculty of Social and Educational Sciences, University of Passau, Germany, </w:t>
      </w:r>
      <w:r w:rsidR="00C623AF" w:rsidRPr="00C623AF">
        <w:rPr>
          <w:lang w:val="en-US"/>
        </w:rPr>
        <w:t>judith.ehlert@uni-passau.de</w:t>
      </w:r>
    </w:p>
    <w:p w14:paraId="7410A26A" w14:textId="2CD24CE6" w:rsidR="00861247" w:rsidRDefault="008B3A5E" w:rsidP="00C213FE">
      <w:pPr>
        <w:jc w:val="both"/>
        <w:rPr>
          <w:lang w:val="en-US"/>
        </w:rPr>
      </w:pPr>
      <w:r w:rsidRPr="008B3A5E">
        <w:rPr>
          <w:b/>
          <w:bCs/>
          <w:color w:val="000000"/>
          <w:lang w:val="en-US"/>
        </w:rPr>
        <w:t>Laksmana, Dimas Dwi</w:t>
      </w:r>
      <w:r>
        <w:rPr>
          <w:color w:val="000000"/>
          <w:lang w:val="en-US"/>
        </w:rPr>
        <w:t xml:space="preserve">, Dr., Faculty of Social and Political Sciences, Universitas Indonesia, </w:t>
      </w:r>
      <w:r w:rsidR="00C623AF" w:rsidRPr="00C623AF">
        <w:rPr>
          <w:lang w:val="en-US"/>
        </w:rPr>
        <w:t>dimas.dwi09@ui.ac.id</w:t>
      </w:r>
    </w:p>
    <w:p w14:paraId="2452554A" w14:textId="77777777" w:rsidR="00E8063E" w:rsidRPr="008B3A5E" w:rsidRDefault="00E8063E" w:rsidP="00E8063E">
      <w:pPr>
        <w:spacing w:after="0"/>
        <w:jc w:val="both"/>
        <w:rPr>
          <w:color w:val="000000"/>
          <w:lang w:val="en-US"/>
        </w:rPr>
      </w:pPr>
    </w:p>
    <w:p w14:paraId="4DE18641" w14:textId="17426F68" w:rsidR="008B3A5E" w:rsidRPr="00C213FE" w:rsidRDefault="00D81B73" w:rsidP="001F7B6A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u w:val="single"/>
          <w:lang w:val="en-US"/>
        </w:rPr>
      </w:pPr>
      <w:r w:rsidRPr="00C213FE">
        <w:rPr>
          <w:b/>
          <w:bCs/>
          <w:color w:val="000000"/>
          <w:u w:val="single"/>
          <w:lang w:val="en-US"/>
        </w:rPr>
        <w:t>Brief description of the panel format:</w:t>
      </w:r>
    </w:p>
    <w:p w14:paraId="6148AA4F" w14:textId="4B374B09" w:rsidR="00F2631B" w:rsidRDefault="006315AA" w:rsidP="001F7B6A">
      <w:pPr>
        <w:jc w:val="both"/>
        <w:rPr>
          <w:color w:val="000000"/>
          <w:lang w:val="en-US"/>
        </w:rPr>
      </w:pPr>
      <w:r w:rsidRPr="00C8607B">
        <w:rPr>
          <w:color w:val="000000"/>
          <w:lang w:val="en-US"/>
        </w:rPr>
        <w:t>The panel</w:t>
      </w:r>
      <w:r w:rsidR="00161C82" w:rsidRPr="00C8607B">
        <w:rPr>
          <w:color w:val="000000"/>
          <w:lang w:val="en-US"/>
        </w:rPr>
        <w:t xml:space="preserve"> </w:t>
      </w:r>
      <w:r w:rsidR="00F2631B">
        <w:rPr>
          <w:color w:val="000000"/>
          <w:lang w:val="en-US"/>
        </w:rPr>
        <w:t xml:space="preserve">brings together researchers </w:t>
      </w:r>
      <w:r>
        <w:rPr>
          <w:color w:val="000000"/>
          <w:lang w:val="en-US"/>
        </w:rPr>
        <w:t>linking youth</w:t>
      </w:r>
      <w:r w:rsidR="00C8607B">
        <w:rPr>
          <w:color w:val="000000"/>
          <w:lang w:val="en-US"/>
        </w:rPr>
        <w:t xml:space="preserve"> migration and agriculture</w:t>
      </w:r>
      <w:r w:rsidR="00F2631B">
        <w:rPr>
          <w:color w:val="000000"/>
          <w:lang w:val="en-US"/>
        </w:rPr>
        <w:t xml:space="preserve"> with a focus on </w:t>
      </w:r>
      <w:r w:rsidR="009D6F89">
        <w:rPr>
          <w:color w:val="000000"/>
          <w:lang w:val="en-US"/>
        </w:rPr>
        <w:t xml:space="preserve">the </w:t>
      </w:r>
      <w:r w:rsidR="00F2631B">
        <w:rPr>
          <w:color w:val="000000"/>
          <w:lang w:val="en-US"/>
        </w:rPr>
        <w:t>possibilities and barriers to social innovation in food-networks</w:t>
      </w:r>
      <w:r w:rsidR="00161C82" w:rsidRPr="00C8607B">
        <w:rPr>
          <w:color w:val="000000"/>
          <w:lang w:val="en-US"/>
        </w:rPr>
        <w:t xml:space="preserve">. </w:t>
      </w:r>
      <w:r w:rsidR="00C8607B" w:rsidRPr="00C8607B">
        <w:rPr>
          <w:color w:val="000000"/>
          <w:lang w:val="en-US"/>
        </w:rPr>
        <w:t>As conveners and network partners</w:t>
      </w:r>
      <w:r w:rsidR="00F2631B">
        <w:rPr>
          <w:color w:val="000000"/>
          <w:lang w:val="en-US"/>
        </w:rPr>
        <w:t xml:space="preserve"> in a research </w:t>
      </w:r>
      <w:r w:rsidR="00F2631B" w:rsidRPr="00C8607B">
        <w:rPr>
          <w:color w:val="000000"/>
          <w:lang w:val="en-US"/>
        </w:rPr>
        <w:t>project</w:t>
      </w:r>
      <w:r w:rsidR="00F2631B">
        <w:rPr>
          <w:color w:val="000000"/>
          <w:lang w:val="en-US"/>
        </w:rPr>
        <w:t xml:space="preserve"> engaging with Indonesia and Vietnam</w:t>
      </w:r>
      <w:r w:rsidR="00C8607B" w:rsidRPr="00C8607B">
        <w:rPr>
          <w:color w:val="000000"/>
          <w:lang w:val="en-US"/>
        </w:rPr>
        <w:t>, we w</w:t>
      </w:r>
      <w:r w:rsidR="00F2631B">
        <w:rPr>
          <w:color w:val="000000"/>
          <w:lang w:val="en-US"/>
        </w:rPr>
        <w:t xml:space="preserve">ill </w:t>
      </w:r>
      <w:r w:rsidR="00C8607B" w:rsidRPr="00C8607B">
        <w:rPr>
          <w:color w:val="000000"/>
          <w:lang w:val="en-US"/>
        </w:rPr>
        <w:t>kick-off the panel by present</w:t>
      </w:r>
      <w:r w:rsidR="00F2631B">
        <w:rPr>
          <w:color w:val="000000"/>
          <w:lang w:val="en-US"/>
        </w:rPr>
        <w:t>ing</w:t>
      </w:r>
      <w:r w:rsidR="00C8607B" w:rsidRPr="00C8607B">
        <w:rPr>
          <w:color w:val="000000"/>
          <w:lang w:val="en-US"/>
        </w:rPr>
        <w:t xml:space="preserve"> a joint conceptual paper</w:t>
      </w:r>
      <w:r>
        <w:rPr>
          <w:color w:val="000000"/>
          <w:lang w:val="en-US"/>
        </w:rPr>
        <w:t xml:space="preserve"> drawing on Feminist Political Ecology</w:t>
      </w:r>
      <w:r w:rsidR="00407A84">
        <w:rPr>
          <w:color w:val="000000"/>
          <w:lang w:val="en-US"/>
        </w:rPr>
        <w:t xml:space="preserve"> </w:t>
      </w:r>
      <w:r w:rsidR="007325BD">
        <w:rPr>
          <w:color w:val="000000"/>
          <w:lang w:val="en-US"/>
        </w:rPr>
        <w:t xml:space="preserve">and </w:t>
      </w:r>
      <w:r w:rsidR="00F2631B">
        <w:rPr>
          <w:color w:val="000000"/>
          <w:lang w:val="en-US"/>
        </w:rPr>
        <w:t xml:space="preserve">framing </w:t>
      </w:r>
      <w:r>
        <w:rPr>
          <w:color w:val="000000"/>
          <w:lang w:val="en-US"/>
        </w:rPr>
        <w:t xml:space="preserve">the </w:t>
      </w:r>
      <w:r w:rsidR="00F2631B">
        <w:rPr>
          <w:color w:val="000000"/>
          <w:lang w:val="en-US"/>
        </w:rPr>
        <w:t xml:space="preserve">intersectional dimensions of </w:t>
      </w:r>
      <w:r>
        <w:rPr>
          <w:color w:val="000000"/>
          <w:lang w:val="en-US"/>
        </w:rPr>
        <w:t>so-called</w:t>
      </w:r>
      <w:r w:rsidR="00F2631B">
        <w:rPr>
          <w:color w:val="000000"/>
          <w:lang w:val="en-US"/>
        </w:rPr>
        <w:t xml:space="preserve"> rural returnees</w:t>
      </w:r>
      <w:r>
        <w:rPr>
          <w:color w:val="000000"/>
          <w:lang w:val="en-US"/>
        </w:rPr>
        <w:t xml:space="preserve"> and of young farmers engaging in agroecology</w:t>
      </w:r>
      <w:r w:rsidR="00E8063E">
        <w:rPr>
          <w:color w:val="000000"/>
          <w:lang w:val="en-US"/>
        </w:rPr>
        <w:t xml:space="preserve"> </w:t>
      </w:r>
      <w:r w:rsidR="001F7B6A">
        <w:rPr>
          <w:color w:val="000000"/>
          <w:lang w:val="en-US"/>
        </w:rPr>
        <w:t>and rural-urban food networks</w:t>
      </w:r>
      <w:r w:rsidR="009D6F89">
        <w:rPr>
          <w:color w:val="000000"/>
          <w:lang w:val="en-US"/>
        </w:rPr>
        <w:t>.</w:t>
      </w:r>
    </w:p>
    <w:p w14:paraId="3B60AA85" w14:textId="167CCF98" w:rsidR="00161C82" w:rsidRDefault="00C8607B" w:rsidP="001F7B6A">
      <w:pPr>
        <w:jc w:val="both"/>
        <w:rPr>
          <w:color w:val="000000"/>
          <w:lang w:val="en-GB"/>
        </w:rPr>
      </w:pPr>
      <w:r>
        <w:rPr>
          <w:color w:val="000000"/>
          <w:lang w:val="en-US"/>
        </w:rPr>
        <w:t>Afterwards, w</w:t>
      </w:r>
      <w:r w:rsidR="00161C82" w:rsidRPr="00C8607B">
        <w:rPr>
          <w:color w:val="000000"/>
          <w:lang w:val="en-US"/>
        </w:rPr>
        <w:t xml:space="preserve">e would like to invite presenters to explore the </w:t>
      </w:r>
      <w:r w:rsidR="00C623AF">
        <w:rPr>
          <w:color w:val="000000"/>
          <w:lang w:val="en-US"/>
        </w:rPr>
        <w:t xml:space="preserve">topic </w:t>
      </w:r>
      <w:r w:rsidR="00161C82" w:rsidRPr="00C8607B">
        <w:rPr>
          <w:color w:val="000000"/>
          <w:lang w:val="en-US"/>
        </w:rPr>
        <w:t xml:space="preserve">more broadly. We aim to bring together </w:t>
      </w:r>
      <w:r w:rsidRPr="00C8607B">
        <w:rPr>
          <w:color w:val="000000"/>
          <w:lang w:val="en-GB"/>
        </w:rPr>
        <w:t>presenters who</w:t>
      </w:r>
      <w:r w:rsidR="00161C82" w:rsidRPr="00C8607B">
        <w:rPr>
          <w:color w:val="000000"/>
          <w:lang w:val="en-GB"/>
        </w:rPr>
        <w:t xml:space="preserve"> cherish analytical approaches based on original empirical finding</w:t>
      </w:r>
      <w:r w:rsidRPr="00C8607B">
        <w:rPr>
          <w:color w:val="000000"/>
          <w:lang w:val="en-GB"/>
        </w:rPr>
        <w:t xml:space="preserve">s from a diverse range of </w:t>
      </w:r>
      <w:r>
        <w:rPr>
          <w:color w:val="000000"/>
          <w:lang w:val="en-GB"/>
        </w:rPr>
        <w:t xml:space="preserve">the </w:t>
      </w:r>
      <w:r w:rsidRPr="00C8607B">
        <w:rPr>
          <w:color w:val="000000"/>
          <w:lang w:val="en-GB"/>
        </w:rPr>
        <w:t>social science</w:t>
      </w:r>
      <w:r>
        <w:rPr>
          <w:color w:val="000000"/>
          <w:lang w:val="en-GB"/>
        </w:rPr>
        <w:t>s</w:t>
      </w:r>
      <w:r w:rsidRPr="00C8607B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and (transdisciplinary) methodologies</w:t>
      </w:r>
      <w:r w:rsidR="00161C82" w:rsidRPr="00C8607B">
        <w:rPr>
          <w:color w:val="000000"/>
          <w:lang w:val="en-GB"/>
        </w:rPr>
        <w:t xml:space="preserve">. </w:t>
      </w:r>
    </w:p>
    <w:p w14:paraId="196C1B24" w14:textId="77777777" w:rsidR="00E8063E" w:rsidRPr="00161C82" w:rsidRDefault="00E8063E" w:rsidP="00E8063E">
      <w:pPr>
        <w:spacing w:after="0"/>
        <w:jc w:val="both"/>
        <w:rPr>
          <w:b/>
          <w:bCs/>
          <w:color w:val="000000"/>
          <w:lang w:val="en-GB"/>
        </w:rPr>
      </w:pPr>
    </w:p>
    <w:p w14:paraId="4A2980CD" w14:textId="21E8C329" w:rsidR="00D81B73" w:rsidRPr="00CF211C" w:rsidRDefault="00D81B73" w:rsidP="001F7B6A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u w:val="single"/>
          <w:lang w:val="en-US"/>
        </w:rPr>
      </w:pPr>
      <w:r w:rsidRPr="00CF211C">
        <w:rPr>
          <w:b/>
          <w:bCs/>
          <w:color w:val="000000"/>
          <w:u w:val="single"/>
          <w:lang w:val="en-US"/>
        </w:rPr>
        <w:t>Brief description of the panel</w:t>
      </w:r>
      <w:r w:rsidR="007325BD" w:rsidRPr="00CF211C">
        <w:rPr>
          <w:b/>
          <w:bCs/>
          <w:color w:val="000000"/>
          <w:u w:val="single"/>
          <w:lang w:val="en-US"/>
        </w:rPr>
        <w:t>:</w:t>
      </w:r>
    </w:p>
    <w:p w14:paraId="54A6931D" w14:textId="180134D1" w:rsidR="00FD671E" w:rsidRDefault="00FC4882" w:rsidP="001F7B6A">
      <w:pPr>
        <w:jc w:val="both"/>
        <w:rPr>
          <w:color w:val="000000"/>
          <w:lang w:val="en-US"/>
        </w:rPr>
      </w:pPr>
      <w:r w:rsidRPr="00FC4882">
        <w:rPr>
          <w:color w:val="000000"/>
          <w:lang w:val="en-US"/>
        </w:rPr>
        <w:t xml:space="preserve">‘Who will tend the farm’ is one of the most pressing concerns in Southeast Asia characterized by rapid urbanization, rural-urban migration pressures, </w:t>
      </w:r>
      <w:r>
        <w:rPr>
          <w:color w:val="000000"/>
          <w:lang w:val="en-US"/>
        </w:rPr>
        <w:t xml:space="preserve">and </w:t>
      </w:r>
      <w:r w:rsidRPr="00FC4882">
        <w:rPr>
          <w:color w:val="000000"/>
          <w:lang w:val="en-US"/>
        </w:rPr>
        <w:t>aging farming populations</w:t>
      </w:r>
      <w:r>
        <w:rPr>
          <w:color w:val="000000"/>
          <w:lang w:val="en-US"/>
        </w:rPr>
        <w:t>. The concentration of economic and cultural capital in cities creates a ‘mobility imperative for rural youth’ (Farrugia 2016), while embedding agricultural households in pluri</w:t>
      </w:r>
      <w:r w:rsidR="003F59C6">
        <w:rPr>
          <w:color w:val="000000"/>
          <w:lang w:val="en-US"/>
        </w:rPr>
        <w:t>-</w:t>
      </w:r>
      <w:r>
        <w:rPr>
          <w:color w:val="000000"/>
          <w:lang w:val="en-US"/>
        </w:rPr>
        <w:t>local and pluri</w:t>
      </w:r>
      <w:r w:rsidR="003F59C6">
        <w:rPr>
          <w:color w:val="000000"/>
          <w:lang w:val="en-US"/>
        </w:rPr>
        <w:t>-</w:t>
      </w:r>
      <w:r>
        <w:rPr>
          <w:color w:val="000000"/>
          <w:lang w:val="en-US"/>
        </w:rPr>
        <w:t xml:space="preserve">active networks. </w:t>
      </w:r>
      <w:r w:rsidR="0077446D">
        <w:rPr>
          <w:color w:val="000000"/>
          <w:lang w:val="en-US"/>
        </w:rPr>
        <w:t>Yet, y</w:t>
      </w:r>
      <w:r>
        <w:rPr>
          <w:color w:val="000000"/>
          <w:lang w:val="en-US"/>
        </w:rPr>
        <w:t xml:space="preserve">oung people </w:t>
      </w:r>
      <w:r w:rsidR="0077446D">
        <w:rPr>
          <w:color w:val="000000"/>
          <w:lang w:val="en-US"/>
        </w:rPr>
        <w:t xml:space="preserve">are not only on the move but </w:t>
      </w:r>
      <w:r>
        <w:rPr>
          <w:color w:val="000000"/>
          <w:lang w:val="en-US"/>
        </w:rPr>
        <w:t>also return to their homelands with the aim to invest in local agriculture</w:t>
      </w:r>
      <w:r w:rsidR="001F7B6A">
        <w:rPr>
          <w:color w:val="000000"/>
          <w:lang w:val="en-US"/>
        </w:rPr>
        <w:t xml:space="preserve"> and food environments</w:t>
      </w:r>
      <w:r w:rsidR="00C623AF">
        <w:rPr>
          <w:color w:val="000000"/>
          <w:lang w:val="en-US"/>
        </w:rPr>
        <w:t>.</w:t>
      </w:r>
      <w:r w:rsidR="0077446D">
        <w:rPr>
          <w:color w:val="000000"/>
          <w:lang w:val="en-US"/>
        </w:rPr>
        <w:t xml:space="preserve"> </w:t>
      </w:r>
      <w:r w:rsidR="00C623AF">
        <w:rPr>
          <w:color w:val="000000"/>
          <w:lang w:val="en-US"/>
        </w:rPr>
        <w:t>They</w:t>
      </w:r>
      <w:r w:rsidR="003F59C6">
        <w:rPr>
          <w:color w:val="000000"/>
          <w:lang w:val="en-US"/>
        </w:rPr>
        <w:t xml:space="preserve"> capitaliz</w:t>
      </w:r>
      <w:r w:rsidR="00C623AF">
        <w:rPr>
          <w:color w:val="000000"/>
          <w:lang w:val="en-US"/>
        </w:rPr>
        <w:t>e</w:t>
      </w:r>
      <w:r w:rsidR="003F59C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on the</w:t>
      </w:r>
      <w:r w:rsidR="003F59C6">
        <w:rPr>
          <w:color w:val="000000"/>
          <w:lang w:val="en-US"/>
        </w:rPr>
        <w:t xml:space="preserve"> knowledge, experiences, money and rural-urban networks </w:t>
      </w:r>
      <w:r w:rsidR="0077446D">
        <w:rPr>
          <w:color w:val="000000"/>
          <w:lang w:val="en-US"/>
        </w:rPr>
        <w:t xml:space="preserve">that they </w:t>
      </w:r>
      <w:r w:rsidR="003F59C6">
        <w:rPr>
          <w:color w:val="000000"/>
          <w:lang w:val="en-US"/>
        </w:rPr>
        <w:t>gained through mobility</w:t>
      </w:r>
      <w:r w:rsidR="00FD671E">
        <w:rPr>
          <w:color w:val="000000"/>
          <w:lang w:val="en-US"/>
        </w:rPr>
        <w:t xml:space="preserve">. At the same time, youth mobility and the agency of </w:t>
      </w:r>
      <w:r w:rsidR="001F7B6A">
        <w:rPr>
          <w:color w:val="000000"/>
          <w:lang w:val="en-US"/>
        </w:rPr>
        <w:t>producing and consuming food</w:t>
      </w:r>
      <w:r w:rsidR="00FD671E">
        <w:rPr>
          <w:color w:val="000000"/>
          <w:lang w:val="en-US"/>
        </w:rPr>
        <w:t xml:space="preserve"> display a clear intersectional dimension.</w:t>
      </w:r>
      <w:r w:rsidR="00C213FE">
        <w:rPr>
          <w:color w:val="000000"/>
          <w:lang w:val="en-US"/>
        </w:rPr>
        <w:t xml:space="preserve"> </w:t>
      </w:r>
      <w:r w:rsidR="0077446D">
        <w:rPr>
          <w:color w:val="000000"/>
          <w:lang w:val="en-US"/>
        </w:rPr>
        <w:t xml:space="preserve">Against this background, this panel invites papers to empirically/conceptually address the future of agriculture through the eyes of rural youth </w:t>
      </w:r>
      <w:r w:rsidR="007325BD">
        <w:rPr>
          <w:color w:val="000000"/>
          <w:lang w:val="en-US"/>
        </w:rPr>
        <w:t>in Southeast Asia</w:t>
      </w:r>
      <w:r w:rsidR="0077446D">
        <w:rPr>
          <w:color w:val="000000"/>
          <w:lang w:val="en-US"/>
        </w:rPr>
        <w:t xml:space="preserve">. </w:t>
      </w:r>
      <w:r w:rsidR="00FD671E">
        <w:rPr>
          <w:color w:val="000000"/>
          <w:lang w:val="en-US"/>
        </w:rPr>
        <w:t>Potential topics are but are not limited to</w:t>
      </w:r>
      <w:r w:rsidR="00D1442B">
        <w:rPr>
          <w:color w:val="000000"/>
          <w:lang w:val="en-US"/>
        </w:rPr>
        <w:t>:</w:t>
      </w:r>
      <w:r w:rsidR="00FD671E">
        <w:rPr>
          <w:color w:val="000000"/>
          <w:lang w:val="en-US"/>
        </w:rPr>
        <w:t xml:space="preserve"> </w:t>
      </w:r>
    </w:p>
    <w:p w14:paraId="7EA64197" w14:textId="5FFDD5A5" w:rsidR="0049252A" w:rsidRDefault="0049252A" w:rsidP="001F7B6A">
      <w:pPr>
        <w:pStyle w:val="ListParagraph"/>
        <w:numPr>
          <w:ilvl w:val="0"/>
          <w:numId w:val="4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Feminist Political Ecology a</w:t>
      </w:r>
      <w:r w:rsidR="007325BD">
        <w:rPr>
          <w:color w:val="000000"/>
          <w:lang w:val="en-US"/>
        </w:rPr>
        <w:t>s</w:t>
      </w:r>
      <w:r>
        <w:rPr>
          <w:color w:val="000000"/>
          <w:lang w:val="en-US"/>
        </w:rPr>
        <w:t xml:space="preserve"> a methodological approach</w:t>
      </w:r>
    </w:p>
    <w:p w14:paraId="7B8C6C63" w14:textId="515CDB50" w:rsidR="0049252A" w:rsidRDefault="0049252A" w:rsidP="001F7B6A">
      <w:pPr>
        <w:pStyle w:val="ListParagraph"/>
        <w:numPr>
          <w:ilvl w:val="0"/>
          <w:numId w:val="4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Agroecology</w:t>
      </w:r>
      <w:r w:rsidR="00C623AF">
        <w:rPr>
          <w:color w:val="000000"/>
          <w:lang w:val="en-US"/>
        </w:rPr>
        <w:t xml:space="preserve">, </w:t>
      </w:r>
      <w:r w:rsidR="007325BD">
        <w:rPr>
          <w:color w:val="000000"/>
          <w:lang w:val="en-US"/>
        </w:rPr>
        <w:t>alternative agri</w:t>
      </w:r>
      <w:r w:rsidR="00C213FE">
        <w:rPr>
          <w:color w:val="000000"/>
          <w:lang w:val="en-US"/>
        </w:rPr>
        <w:t xml:space="preserve">-food </w:t>
      </w:r>
      <w:r w:rsidR="00A4310F">
        <w:rPr>
          <w:color w:val="000000"/>
          <w:lang w:val="en-US"/>
        </w:rPr>
        <w:t>networks</w:t>
      </w:r>
      <w:r w:rsidR="007325B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between practices and politics</w:t>
      </w:r>
    </w:p>
    <w:p w14:paraId="5726EA9F" w14:textId="72565BEF" w:rsidR="00F2631B" w:rsidRDefault="00F2631B" w:rsidP="001F7B6A">
      <w:pPr>
        <w:pStyle w:val="ListParagraph"/>
        <w:numPr>
          <w:ilvl w:val="0"/>
          <w:numId w:val="4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Consumer-producer </w:t>
      </w:r>
      <w:r w:rsidR="00C623AF">
        <w:rPr>
          <w:color w:val="000000"/>
          <w:lang w:val="en-US"/>
        </w:rPr>
        <w:t>initiatives in rural-urban space</w:t>
      </w:r>
    </w:p>
    <w:p w14:paraId="0F10396E" w14:textId="68A1E765" w:rsidR="00F2631B" w:rsidRDefault="00C213FE" w:rsidP="001F7B6A">
      <w:pPr>
        <w:pStyle w:val="ListParagraph"/>
        <w:numPr>
          <w:ilvl w:val="0"/>
          <w:numId w:val="4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Social</w:t>
      </w:r>
      <w:r w:rsidR="00C623AF">
        <w:rPr>
          <w:color w:val="000000"/>
          <w:lang w:val="en-US"/>
        </w:rPr>
        <w:t xml:space="preserve"> </w:t>
      </w:r>
      <w:r w:rsidR="00F2631B">
        <w:rPr>
          <w:color w:val="000000"/>
          <w:lang w:val="en-US"/>
        </w:rPr>
        <w:t>innovations</w:t>
      </w:r>
      <w:r>
        <w:rPr>
          <w:color w:val="000000"/>
          <w:lang w:val="en-US"/>
        </w:rPr>
        <w:t xml:space="preserve"> for healthy local diets</w:t>
      </w:r>
      <w:r w:rsidR="00F2631B">
        <w:rPr>
          <w:color w:val="000000"/>
          <w:lang w:val="en-US"/>
        </w:rPr>
        <w:t xml:space="preserve"> </w:t>
      </w:r>
    </w:p>
    <w:p w14:paraId="5013AF8B" w14:textId="2636FED6" w:rsidR="00F2631B" w:rsidRDefault="00C213FE" w:rsidP="001F7B6A">
      <w:pPr>
        <w:pStyle w:val="ListParagraph"/>
        <w:numPr>
          <w:ilvl w:val="0"/>
          <w:numId w:val="4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Agri-food n</w:t>
      </w:r>
      <w:r w:rsidR="00F2631B">
        <w:rPr>
          <w:color w:val="000000"/>
          <w:lang w:val="en-US"/>
        </w:rPr>
        <w:t>etworking on- and offline</w:t>
      </w:r>
    </w:p>
    <w:p w14:paraId="01C5E4E4" w14:textId="30EF7051" w:rsidR="0049252A" w:rsidRPr="00C213FE" w:rsidRDefault="0049252A" w:rsidP="00C213FE">
      <w:pPr>
        <w:pStyle w:val="ListParagraph"/>
        <w:numPr>
          <w:ilvl w:val="0"/>
          <w:numId w:val="4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Migration trajectories</w:t>
      </w:r>
      <w:r w:rsidR="00C213FE">
        <w:rPr>
          <w:color w:val="000000"/>
          <w:lang w:val="en-US"/>
        </w:rPr>
        <w:t>, s</w:t>
      </w:r>
      <w:r w:rsidRPr="00C213FE">
        <w:rPr>
          <w:color w:val="000000"/>
          <w:lang w:val="en-US"/>
        </w:rPr>
        <w:t>tructural barriers and policy gaps for young rural entrepreneurs</w:t>
      </w:r>
    </w:p>
    <w:p w14:paraId="221D32FA" w14:textId="77777777" w:rsidR="00CF211C" w:rsidRDefault="0049252A" w:rsidP="00CF211C">
      <w:pPr>
        <w:pStyle w:val="ListParagraph"/>
        <w:numPr>
          <w:ilvl w:val="0"/>
          <w:numId w:val="4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Women returnees and</w:t>
      </w:r>
      <w:r w:rsidR="00C213FE">
        <w:rPr>
          <w:color w:val="000000"/>
          <w:lang w:val="en-US"/>
        </w:rPr>
        <w:t xml:space="preserve"> the visions and aspirations of farming youth</w:t>
      </w:r>
    </w:p>
    <w:p w14:paraId="0ED23932" w14:textId="77777777" w:rsidR="00E8063E" w:rsidRPr="00CF211C" w:rsidRDefault="00E8063E" w:rsidP="00E8063E">
      <w:pPr>
        <w:pStyle w:val="ListParagraph"/>
        <w:spacing w:after="0"/>
        <w:jc w:val="both"/>
        <w:rPr>
          <w:b/>
          <w:bCs/>
          <w:color w:val="000000"/>
          <w:lang w:val="en-US"/>
        </w:rPr>
      </w:pPr>
    </w:p>
    <w:p w14:paraId="166B0942" w14:textId="1D9B829B" w:rsidR="00CF211C" w:rsidRPr="00046874" w:rsidRDefault="00CF211C" w:rsidP="00CF211C">
      <w:pPr>
        <w:pStyle w:val="ListParagraph"/>
        <w:numPr>
          <w:ilvl w:val="0"/>
          <w:numId w:val="3"/>
        </w:numPr>
        <w:jc w:val="both"/>
        <w:rPr>
          <w:b/>
          <w:bCs/>
          <w:color w:val="000000"/>
          <w:lang w:val="en-US"/>
        </w:rPr>
      </w:pPr>
      <w:r w:rsidRPr="00046874">
        <w:rPr>
          <w:b/>
          <w:bCs/>
          <w:color w:val="000000"/>
          <w:u w:val="single"/>
          <w:lang w:val="en-US"/>
        </w:rPr>
        <w:t>Single session (1 x 90 minutes, 3-4 presenters)</w:t>
      </w:r>
    </w:p>
    <w:p w14:paraId="234EDF4D" w14:textId="77777777" w:rsidR="00CF211C" w:rsidRPr="002E09B5" w:rsidRDefault="00CF211C" w:rsidP="00CF211C">
      <w:pPr>
        <w:jc w:val="both"/>
        <w:rPr>
          <w:color w:val="000000"/>
          <w:lang w:val="en-US"/>
        </w:rPr>
      </w:pPr>
      <w:r w:rsidRPr="002E09B5">
        <w:rPr>
          <w:color w:val="000000"/>
          <w:lang w:val="en-US"/>
        </w:rPr>
        <w:t xml:space="preserve">We request a single session of 3 presenters (25 min. each) as well as </w:t>
      </w:r>
      <w:r>
        <w:rPr>
          <w:color w:val="000000"/>
          <w:lang w:val="en-US"/>
        </w:rPr>
        <w:t xml:space="preserve">a </w:t>
      </w:r>
      <w:r w:rsidRPr="002E09B5">
        <w:rPr>
          <w:color w:val="000000"/>
          <w:lang w:val="en-US"/>
        </w:rPr>
        <w:t>15</w:t>
      </w:r>
      <w:r>
        <w:rPr>
          <w:color w:val="000000"/>
          <w:lang w:val="en-US"/>
        </w:rPr>
        <w:t>-</w:t>
      </w:r>
      <w:r w:rsidRPr="002E09B5">
        <w:rPr>
          <w:color w:val="000000"/>
          <w:lang w:val="en-US"/>
        </w:rPr>
        <w:t>minute</w:t>
      </w:r>
      <w:r>
        <w:rPr>
          <w:color w:val="000000"/>
          <w:lang w:val="en-US"/>
        </w:rPr>
        <w:t xml:space="preserve"> slot</w:t>
      </w:r>
      <w:r w:rsidRPr="002E09B5">
        <w:rPr>
          <w:color w:val="000000"/>
          <w:lang w:val="en-US"/>
        </w:rPr>
        <w:t xml:space="preserve"> for the conveners to present their conceptual framework lens of feminist political ecology </w:t>
      </w:r>
      <w:r>
        <w:rPr>
          <w:color w:val="000000"/>
          <w:lang w:val="en-US"/>
        </w:rPr>
        <w:t>that we use in our project</w:t>
      </w:r>
      <w:r w:rsidRPr="002E09B5">
        <w:rPr>
          <w:color w:val="000000"/>
          <w:lang w:val="en-US"/>
        </w:rPr>
        <w:t xml:space="preserve">.  </w:t>
      </w:r>
    </w:p>
    <w:p w14:paraId="502404E5" w14:textId="77777777" w:rsidR="00E8063E" w:rsidRDefault="00E8063E" w:rsidP="00676145">
      <w:pPr>
        <w:spacing w:after="120"/>
        <w:rPr>
          <w:rFonts w:cs="Times New Roman"/>
          <w:sz w:val="12"/>
          <w:szCs w:val="12"/>
          <w:lang w:val="en-US"/>
        </w:rPr>
      </w:pPr>
    </w:p>
    <w:p w14:paraId="422550E6" w14:textId="75A7B051" w:rsidR="00CF211C" w:rsidRDefault="00E8063E" w:rsidP="00676145">
      <w:pPr>
        <w:spacing w:after="120"/>
        <w:rPr>
          <w:rFonts w:cs="Times New Roman"/>
          <w:sz w:val="12"/>
          <w:szCs w:val="12"/>
          <w:lang w:val="en-US"/>
        </w:rPr>
      </w:pPr>
      <w:r>
        <w:rPr>
          <w:rFonts w:cs="Times New Roman"/>
          <w:sz w:val="12"/>
          <w:szCs w:val="12"/>
          <w:lang w:val="en-US"/>
        </w:rPr>
        <w:t>R</w:t>
      </w:r>
      <w:r w:rsidR="00046874">
        <w:rPr>
          <w:rFonts w:cs="Times New Roman"/>
          <w:sz w:val="12"/>
          <w:szCs w:val="12"/>
          <w:lang w:val="en-US"/>
        </w:rPr>
        <w:t>eferences:</w:t>
      </w:r>
    </w:p>
    <w:p w14:paraId="6E2AF618" w14:textId="39EC87DF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r w:rsidRPr="00046874">
        <w:rPr>
          <w:rFonts w:cs="Times New Roman"/>
          <w:sz w:val="12"/>
          <w:szCs w:val="12"/>
          <w:lang w:val="en-US"/>
        </w:rPr>
        <w:t xml:space="preserve">Bui, L.K. &amp; Hoang, H. (2021). </w:t>
      </w:r>
      <w:r w:rsidRPr="00046874">
        <w:rPr>
          <w:rFonts w:cs="Times New Roman"/>
          <w:color w:val="000000"/>
          <w:sz w:val="12"/>
          <w:szCs w:val="12"/>
          <w:lang w:val="en-US"/>
        </w:rPr>
        <w:t xml:space="preserve">Non-farm employment, food poverty and vulnerability in rural Vietnam. </w:t>
      </w:r>
      <w:r w:rsidRPr="00046874">
        <w:rPr>
          <w:rFonts w:cs="Times New Roman"/>
          <w:i/>
          <w:iCs/>
          <w:color w:val="000000"/>
          <w:sz w:val="12"/>
          <w:szCs w:val="12"/>
          <w:lang w:val="en-US"/>
        </w:rPr>
        <w:t>Environment, Development and Sustainability, 23</w:t>
      </w:r>
      <w:r w:rsidRPr="00046874">
        <w:rPr>
          <w:rFonts w:cs="Times New Roman"/>
          <w:color w:val="000000"/>
          <w:sz w:val="12"/>
          <w:szCs w:val="12"/>
          <w:lang w:val="en-US"/>
        </w:rPr>
        <w:t>(5), 7326-7357.</w:t>
      </w:r>
    </w:p>
    <w:p w14:paraId="17CD4307" w14:textId="15DF60A8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r w:rsidRPr="00046874">
        <w:rPr>
          <w:rFonts w:cs="Times New Roman"/>
          <w:sz w:val="12"/>
          <w:szCs w:val="12"/>
          <w:lang w:val="en-US"/>
        </w:rPr>
        <w:t xml:space="preserve">Farrugia, D. (2016). The mobility imperative for rural youth: The structural, symbolic and non-representational dimensions </w:t>
      </w:r>
      <w:r w:rsidR="00046874">
        <w:rPr>
          <w:rFonts w:cs="Times New Roman"/>
          <w:sz w:val="12"/>
          <w:szCs w:val="12"/>
          <w:lang w:val="en-US"/>
        </w:rPr>
        <w:t xml:space="preserve">of </w:t>
      </w:r>
      <w:r w:rsidRPr="00046874">
        <w:rPr>
          <w:rFonts w:cs="Times New Roman"/>
          <w:sz w:val="12"/>
          <w:szCs w:val="12"/>
          <w:lang w:val="en-US"/>
        </w:rPr>
        <w:t>rural youth mobilities. </w:t>
      </w:r>
      <w:r w:rsidRPr="00046874">
        <w:rPr>
          <w:rFonts w:cs="Times New Roman"/>
          <w:i/>
          <w:iCs/>
          <w:sz w:val="12"/>
          <w:szCs w:val="12"/>
          <w:lang w:val="en-US"/>
        </w:rPr>
        <w:t>Journal of youth studies</w:t>
      </w:r>
      <w:r w:rsidRPr="00046874">
        <w:rPr>
          <w:rFonts w:cs="Times New Roman"/>
          <w:sz w:val="12"/>
          <w:szCs w:val="12"/>
          <w:lang w:val="en-US"/>
        </w:rPr>
        <w:t>, </w:t>
      </w:r>
      <w:r w:rsidRPr="00046874">
        <w:rPr>
          <w:rFonts w:cs="Times New Roman"/>
          <w:i/>
          <w:iCs/>
          <w:sz w:val="12"/>
          <w:szCs w:val="12"/>
          <w:lang w:val="en-US"/>
        </w:rPr>
        <w:t>19</w:t>
      </w:r>
      <w:r w:rsidRPr="00046874">
        <w:rPr>
          <w:rFonts w:cs="Times New Roman"/>
          <w:sz w:val="12"/>
          <w:szCs w:val="12"/>
          <w:lang w:val="en-US"/>
        </w:rPr>
        <w:t xml:space="preserve">(6), 836-851. </w:t>
      </w:r>
    </w:p>
    <w:p w14:paraId="38911C57" w14:textId="77777777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r w:rsidRPr="00046874">
        <w:rPr>
          <w:rFonts w:cs="Times New Roman"/>
          <w:sz w:val="12"/>
          <w:szCs w:val="12"/>
          <w:lang w:val="en-US"/>
        </w:rPr>
        <w:t xml:space="preserve">Griffin, C., </w:t>
      </w:r>
      <w:proofErr w:type="spellStart"/>
      <w:r w:rsidRPr="00046874">
        <w:rPr>
          <w:rFonts w:cs="Times New Roman"/>
          <w:sz w:val="12"/>
          <w:szCs w:val="12"/>
          <w:lang w:val="en-US"/>
        </w:rPr>
        <w:t>Sirimorok</w:t>
      </w:r>
      <w:proofErr w:type="spellEnd"/>
      <w:r w:rsidRPr="00046874">
        <w:rPr>
          <w:rFonts w:cs="Times New Roman"/>
          <w:sz w:val="12"/>
          <w:szCs w:val="12"/>
          <w:lang w:val="en-US"/>
        </w:rPr>
        <w:t xml:space="preserve">, N., Dressler, W. H., Sahide, M. A. K., Fisher, M. R., </w:t>
      </w:r>
      <w:proofErr w:type="spellStart"/>
      <w:r w:rsidRPr="00046874">
        <w:rPr>
          <w:rFonts w:cs="Times New Roman"/>
          <w:sz w:val="12"/>
          <w:szCs w:val="12"/>
          <w:lang w:val="en-US"/>
        </w:rPr>
        <w:t>Faturachmat</w:t>
      </w:r>
      <w:proofErr w:type="spellEnd"/>
      <w:r w:rsidRPr="00046874">
        <w:rPr>
          <w:rFonts w:cs="Times New Roman"/>
          <w:sz w:val="12"/>
          <w:szCs w:val="12"/>
          <w:lang w:val="en-US"/>
        </w:rPr>
        <w:t xml:space="preserve">, F., Muin, A. V. F., Andary, P. M., </w:t>
      </w:r>
      <w:proofErr w:type="spellStart"/>
      <w:r w:rsidRPr="00046874">
        <w:rPr>
          <w:rFonts w:cs="Times New Roman"/>
          <w:sz w:val="12"/>
          <w:szCs w:val="12"/>
          <w:lang w:val="en-US"/>
        </w:rPr>
        <w:t>Batiran</w:t>
      </w:r>
      <w:proofErr w:type="spellEnd"/>
      <w:r w:rsidRPr="00046874">
        <w:rPr>
          <w:rFonts w:cs="Times New Roman"/>
          <w:sz w:val="12"/>
          <w:szCs w:val="12"/>
          <w:lang w:val="en-US"/>
        </w:rPr>
        <w:t xml:space="preserve">, K. M., Rahmat, Rizaldi, M., </w:t>
      </w:r>
      <w:proofErr w:type="spellStart"/>
      <w:r w:rsidRPr="00046874">
        <w:rPr>
          <w:rFonts w:cs="Times New Roman"/>
          <w:sz w:val="12"/>
          <w:szCs w:val="12"/>
          <w:lang w:val="en-US"/>
        </w:rPr>
        <w:t>Toumbourou</w:t>
      </w:r>
      <w:proofErr w:type="spellEnd"/>
      <w:r w:rsidRPr="00046874">
        <w:rPr>
          <w:rFonts w:cs="Times New Roman"/>
          <w:sz w:val="12"/>
          <w:szCs w:val="12"/>
          <w:lang w:val="en-US"/>
        </w:rPr>
        <w:t>, T., Suwarso, R., Salim, W., Utomo, A., Akhmad, F., &amp; Clendenning, J. (2024). The persistence of precarity: youth livelihood struggles and aspirations in the context of truncated agrarian change, South Sulawesi, Indonesia. </w:t>
      </w:r>
      <w:r w:rsidRPr="00046874">
        <w:rPr>
          <w:rFonts w:cs="Times New Roman"/>
          <w:i/>
          <w:iCs/>
          <w:sz w:val="12"/>
          <w:szCs w:val="12"/>
          <w:lang w:val="en-US"/>
        </w:rPr>
        <w:t>Agriculture and Human Values</w:t>
      </w:r>
      <w:r w:rsidRPr="00046874">
        <w:rPr>
          <w:rFonts w:cs="Times New Roman"/>
          <w:sz w:val="12"/>
          <w:szCs w:val="12"/>
          <w:lang w:val="en-US"/>
        </w:rPr>
        <w:t>, </w:t>
      </w:r>
      <w:r w:rsidRPr="00046874">
        <w:rPr>
          <w:rFonts w:cs="Times New Roman"/>
          <w:i/>
          <w:iCs/>
          <w:sz w:val="12"/>
          <w:szCs w:val="12"/>
          <w:lang w:val="en-US"/>
        </w:rPr>
        <w:t>41</w:t>
      </w:r>
      <w:r w:rsidRPr="00046874">
        <w:rPr>
          <w:rFonts w:cs="Times New Roman"/>
          <w:sz w:val="12"/>
          <w:szCs w:val="12"/>
          <w:lang w:val="en-US"/>
        </w:rPr>
        <w:t>(1), 293-311.</w:t>
      </w:r>
    </w:p>
    <w:p w14:paraId="15E683A5" w14:textId="77777777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r w:rsidRPr="00046874">
        <w:rPr>
          <w:rFonts w:cs="Times New Roman"/>
          <w:color w:val="222222"/>
          <w:sz w:val="12"/>
          <w:szCs w:val="12"/>
          <w:shd w:val="clear" w:color="auto" w:fill="FFFFFF"/>
          <w:lang w:val="en-US"/>
        </w:rPr>
        <w:t xml:space="preserve">Kelley, L. C., Peluso, N. L., Carlson, K. M., &amp; Afiff, S. (2020). Circular labor migration and land-livelihood dynamics in Southeast </w:t>
      </w:r>
      <w:proofErr w:type="spellStart"/>
      <w:r w:rsidRPr="00046874">
        <w:rPr>
          <w:rFonts w:cs="Times New Roman"/>
          <w:color w:val="222222"/>
          <w:sz w:val="12"/>
          <w:szCs w:val="12"/>
          <w:shd w:val="clear" w:color="auto" w:fill="FFFFFF"/>
          <w:lang w:val="en-US"/>
        </w:rPr>
        <w:t>Asia&amp;apos;s</w:t>
      </w:r>
      <w:proofErr w:type="spellEnd"/>
      <w:r w:rsidRPr="00046874">
        <w:rPr>
          <w:rFonts w:cs="Times New Roman"/>
          <w:color w:val="222222"/>
          <w:sz w:val="12"/>
          <w:szCs w:val="12"/>
          <w:shd w:val="clear" w:color="auto" w:fill="FFFFFF"/>
          <w:lang w:val="en-US"/>
        </w:rPr>
        <w:t xml:space="preserve"> concession landscapes. </w:t>
      </w:r>
      <w:r w:rsidRPr="00046874">
        <w:rPr>
          <w:rFonts w:cs="Times New Roman"/>
          <w:i/>
          <w:iCs/>
          <w:color w:val="222222"/>
          <w:sz w:val="12"/>
          <w:szCs w:val="12"/>
          <w:shd w:val="clear" w:color="auto" w:fill="FFFFFF"/>
          <w:lang w:val="en-US"/>
        </w:rPr>
        <w:t>Journal of Rural studies</w:t>
      </w:r>
      <w:r w:rsidRPr="00046874">
        <w:rPr>
          <w:rFonts w:cs="Times New Roman"/>
          <w:color w:val="222222"/>
          <w:sz w:val="12"/>
          <w:szCs w:val="12"/>
          <w:shd w:val="clear" w:color="auto" w:fill="FFFFFF"/>
          <w:lang w:val="en-US"/>
        </w:rPr>
        <w:t xml:space="preserve">, </w:t>
      </w:r>
      <w:r w:rsidRPr="00046874">
        <w:rPr>
          <w:rFonts w:cs="Times New Roman"/>
          <w:i/>
          <w:iCs/>
          <w:color w:val="222222"/>
          <w:sz w:val="12"/>
          <w:szCs w:val="12"/>
          <w:shd w:val="clear" w:color="auto" w:fill="FFFFFF"/>
          <w:lang w:val="en-US"/>
        </w:rPr>
        <w:t>73</w:t>
      </w:r>
      <w:r w:rsidRPr="00046874">
        <w:rPr>
          <w:rFonts w:cs="Times New Roman"/>
          <w:color w:val="222222"/>
          <w:sz w:val="12"/>
          <w:szCs w:val="12"/>
          <w:shd w:val="clear" w:color="auto" w:fill="FFFFFF"/>
          <w:lang w:val="en-US"/>
        </w:rPr>
        <w:t>, 21-33.</w:t>
      </w:r>
    </w:p>
    <w:p w14:paraId="4DF60833" w14:textId="77777777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proofErr w:type="spellStart"/>
      <w:r w:rsidRPr="00046874">
        <w:rPr>
          <w:rFonts w:cs="Times New Roman"/>
          <w:sz w:val="12"/>
          <w:szCs w:val="12"/>
          <w:lang w:val="en-US"/>
        </w:rPr>
        <w:t>Pandangwati</w:t>
      </w:r>
      <w:proofErr w:type="spellEnd"/>
      <w:r w:rsidRPr="00046874">
        <w:rPr>
          <w:rFonts w:cs="Times New Roman"/>
          <w:sz w:val="12"/>
          <w:szCs w:val="12"/>
          <w:lang w:val="en-US"/>
        </w:rPr>
        <w:t>, S. T., Cooke, B., &amp; Neave, M. (2024). Farmers, planning and Agroecological transition: insights from the special region of Yogyakarta, Indonesia. </w:t>
      </w:r>
      <w:r w:rsidRPr="00046874">
        <w:rPr>
          <w:rFonts w:cs="Times New Roman"/>
          <w:i/>
          <w:iCs/>
          <w:sz w:val="12"/>
          <w:szCs w:val="12"/>
          <w:lang w:val="en-US"/>
        </w:rPr>
        <w:t>Australian Geographer</w:t>
      </w:r>
      <w:r w:rsidRPr="00046874">
        <w:rPr>
          <w:rFonts w:cs="Times New Roman"/>
          <w:sz w:val="12"/>
          <w:szCs w:val="12"/>
          <w:lang w:val="en-US"/>
        </w:rPr>
        <w:t xml:space="preserve">, 1-29. </w:t>
      </w:r>
    </w:p>
    <w:p w14:paraId="4007CCED" w14:textId="77777777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r w:rsidRPr="00046874">
        <w:rPr>
          <w:rFonts w:cs="Times New Roman"/>
          <w:sz w:val="12"/>
          <w:szCs w:val="12"/>
          <w:lang w:val="en-US"/>
        </w:rPr>
        <w:t xml:space="preserve">Rigg, J., </w:t>
      </w:r>
      <w:proofErr w:type="spellStart"/>
      <w:r w:rsidRPr="00046874">
        <w:rPr>
          <w:rFonts w:cs="Times New Roman"/>
          <w:sz w:val="12"/>
          <w:szCs w:val="12"/>
          <w:lang w:val="en-US"/>
        </w:rPr>
        <w:t>Phongsiri</w:t>
      </w:r>
      <w:proofErr w:type="spellEnd"/>
      <w:r w:rsidRPr="00046874">
        <w:rPr>
          <w:rFonts w:cs="Times New Roman"/>
          <w:sz w:val="12"/>
          <w:szCs w:val="12"/>
          <w:lang w:val="en-US"/>
        </w:rPr>
        <w:t xml:space="preserve">, M., </w:t>
      </w:r>
      <w:proofErr w:type="spellStart"/>
      <w:r w:rsidRPr="00046874">
        <w:rPr>
          <w:rFonts w:cs="Times New Roman"/>
          <w:sz w:val="12"/>
          <w:szCs w:val="12"/>
          <w:lang w:val="en-US"/>
        </w:rPr>
        <w:t>Promphakping</w:t>
      </w:r>
      <w:proofErr w:type="spellEnd"/>
      <w:r w:rsidRPr="00046874">
        <w:rPr>
          <w:rFonts w:cs="Times New Roman"/>
          <w:sz w:val="12"/>
          <w:szCs w:val="12"/>
          <w:lang w:val="en-US"/>
        </w:rPr>
        <w:t xml:space="preserve">, B., Salamanca, A., &amp; </w:t>
      </w:r>
      <w:proofErr w:type="spellStart"/>
      <w:r w:rsidRPr="00046874">
        <w:rPr>
          <w:rFonts w:cs="Times New Roman"/>
          <w:sz w:val="12"/>
          <w:szCs w:val="12"/>
          <w:lang w:val="en-US"/>
        </w:rPr>
        <w:t>Sripun</w:t>
      </w:r>
      <w:proofErr w:type="spellEnd"/>
      <w:r w:rsidRPr="00046874">
        <w:rPr>
          <w:rFonts w:cs="Times New Roman"/>
          <w:sz w:val="12"/>
          <w:szCs w:val="12"/>
          <w:lang w:val="en-US"/>
        </w:rPr>
        <w:t>, M. (2020). Who will tend the farm? Interrogating the ageing Asian farmer. </w:t>
      </w:r>
      <w:r w:rsidRPr="00046874">
        <w:rPr>
          <w:rFonts w:cs="Times New Roman"/>
          <w:i/>
          <w:iCs/>
          <w:sz w:val="12"/>
          <w:szCs w:val="12"/>
          <w:lang w:val="en-US"/>
        </w:rPr>
        <w:t>The Journal of Peasant Studies</w:t>
      </w:r>
      <w:r w:rsidRPr="00046874">
        <w:rPr>
          <w:rFonts w:cs="Times New Roman"/>
          <w:sz w:val="12"/>
          <w:szCs w:val="12"/>
          <w:lang w:val="en-US"/>
        </w:rPr>
        <w:t>, </w:t>
      </w:r>
      <w:r w:rsidRPr="00046874">
        <w:rPr>
          <w:rFonts w:cs="Times New Roman"/>
          <w:i/>
          <w:iCs/>
          <w:sz w:val="12"/>
          <w:szCs w:val="12"/>
          <w:lang w:val="en-US"/>
        </w:rPr>
        <w:t>47</w:t>
      </w:r>
      <w:r w:rsidRPr="00046874">
        <w:rPr>
          <w:rFonts w:cs="Times New Roman"/>
          <w:sz w:val="12"/>
          <w:szCs w:val="12"/>
          <w:lang w:val="en-US"/>
        </w:rPr>
        <w:t>(2), 306-325. </w:t>
      </w:r>
    </w:p>
    <w:p w14:paraId="2A4FC223" w14:textId="6D16013E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proofErr w:type="spellStart"/>
      <w:r w:rsidRPr="00046874">
        <w:rPr>
          <w:rFonts w:cs="Times New Roman"/>
          <w:sz w:val="12"/>
          <w:szCs w:val="12"/>
          <w:lang w:val="en-US"/>
        </w:rPr>
        <w:t>Toumbourou</w:t>
      </w:r>
      <w:proofErr w:type="spellEnd"/>
      <w:r w:rsidRPr="00046874">
        <w:rPr>
          <w:rFonts w:cs="Times New Roman"/>
          <w:sz w:val="12"/>
          <w:szCs w:val="12"/>
          <w:lang w:val="en-US"/>
        </w:rPr>
        <w:t>, T. D., Dressler, W. H., Sanders, A., Liu, E., Brown, T., &amp; Utomo, A. (2023). Who are the future farmers? Media representations of youth in agriculture, food security and ‘modern’</w:t>
      </w:r>
      <w:r w:rsidR="00CF211C" w:rsidRPr="00046874">
        <w:rPr>
          <w:rFonts w:cs="Times New Roman"/>
          <w:sz w:val="12"/>
          <w:szCs w:val="12"/>
          <w:lang w:val="en-US"/>
        </w:rPr>
        <w:t xml:space="preserve"> </w:t>
      </w:r>
      <w:r w:rsidRPr="00046874">
        <w:rPr>
          <w:rFonts w:cs="Times New Roman"/>
          <w:sz w:val="12"/>
          <w:szCs w:val="12"/>
          <w:lang w:val="en-US"/>
        </w:rPr>
        <w:t>farming in Indonesia. </w:t>
      </w:r>
      <w:r w:rsidRPr="00046874">
        <w:rPr>
          <w:rFonts w:cs="Times New Roman"/>
          <w:i/>
          <w:iCs/>
          <w:sz w:val="12"/>
          <w:szCs w:val="12"/>
          <w:lang w:val="en-US"/>
        </w:rPr>
        <w:t>Asia Pacific Viewpoint</w:t>
      </w:r>
      <w:r w:rsidRPr="00046874">
        <w:rPr>
          <w:rFonts w:cs="Times New Roman"/>
          <w:sz w:val="12"/>
          <w:szCs w:val="12"/>
          <w:lang w:val="en-US"/>
        </w:rPr>
        <w:t>, </w:t>
      </w:r>
      <w:r w:rsidRPr="00046874">
        <w:rPr>
          <w:rFonts w:cs="Times New Roman"/>
          <w:i/>
          <w:iCs/>
          <w:sz w:val="12"/>
          <w:szCs w:val="12"/>
          <w:lang w:val="en-US"/>
        </w:rPr>
        <w:t>64</w:t>
      </w:r>
      <w:r w:rsidRPr="00046874">
        <w:rPr>
          <w:rFonts w:cs="Times New Roman"/>
          <w:sz w:val="12"/>
          <w:szCs w:val="12"/>
          <w:lang w:val="en-US"/>
        </w:rPr>
        <w:t xml:space="preserve">(2), 188-208. </w:t>
      </w:r>
    </w:p>
    <w:p w14:paraId="4153680B" w14:textId="77777777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r w:rsidRPr="00046874">
        <w:rPr>
          <w:rFonts w:cs="Times New Roman"/>
          <w:sz w:val="12"/>
          <w:szCs w:val="12"/>
          <w:lang w:val="en-US"/>
        </w:rPr>
        <w:t>White, B. (2020). </w:t>
      </w:r>
      <w:r w:rsidRPr="00046874">
        <w:rPr>
          <w:rFonts w:cs="Times New Roman"/>
          <w:i/>
          <w:iCs/>
          <w:sz w:val="12"/>
          <w:szCs w:val="12"/>
          <w:lang w:val="en-US"/>
        </w:rPr>
        <w:t>Agriculture and the generation problem</w:t>
      </w:r>
      <w:r w:rsidRPr="00046874">
        <w:rPr>
          <w:rFonts w:cs="Times New Roman"/>
          <w:sz w:val="12"/>
          <w:szCs w:val="12"/>
          <w:lang w:val="en-US"/>
        </w:rPr>
        <w:t xml:space="preserve">. Practical Action Publishing. </w:t>
      </w:r>
    </w:p>
    <w:p w14:paraId="0C8CCE8C" w14:textId="77777777" w:rsidR="00676145" w:rsidRPr="00046874" w:rsidRDefault="00676145" w:rsidP="00CF211C">
      <w:pPr>
        <w:spacing w:after="0"/>
        <w:rPr>
          <w:rFonts w:cs="Times New Roman"/>
          <w:sz w:val="12"/>
          <w:szCs w:val="12"/>
          <w:lang w:val="en-US"/>
        </w:rPr>
      </w:pPr>
      <w:r w:rsidRPr="00046874">
        <w:rPr>
          <w:rFonts w:eastAsia="Times New Roman" w:cs="Times New Roman"/>
          <w:color w:val="000000"/>
          <w:sz w:val="12"/>
          <w:szCs w:val="12"/>
          <w:lang w:val="en-US" w:eastAsia="de-DE"/>
        </w:rPr>
        <w:t xml:space="preserve">Zaremba, H., Elias, M., Rietveld, A. &amp; Bergamini, N. (2021). Toward a Feminist Agroecology. </w:t>
      </w:r>
      <w:r w:rsidRPr="00046874">
        <w:rPr>
          <w:rFonts w:eastAsia="Times New Roman" w:cs="Times New Roman"/>
          <w:i/>
          <w:iCs/>
          <w:color w:val="000000"/>
          <w:sz w:val="12"/>
          <w:szCs w:val="12"/>
          <w:lang w:val="en-US" w:eastAsia="de-DE"/>
        </w:rPr>
        <w:t>Sustainabilit</w:t>
      </w:r>
      <w:r w:rsidRPr="00046874">
        <w:rPr>
          <w:rFonts w:eastAsia="Times New Roman" w:cs="Times New Roman"/>
          <w:color w:val="000000"/>
          <w:sz w:val="12"/>
          <w:szCs w:val="12"/>
          <w:lang w:val="en-US" w:eastAsia="de-DE"/>
        </w:rPr>
        <w:t>y. 13, 11244.</w:t>
      </w:r>
    </w:p>
    <w:p w14:paraId="491E17DC" w14:textId="4F774E66" w:rsidR="006D27CC" w:rsidRPr="00FC4882" w:rsidRDefault="00FC4882" w:rsidP="001F7B6A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</w:t>
      </w:r>
      <w:r w:rsidRPr="00FC4882">
        <w:rPr>
          <w:color w:val="000000"/>
          <w:lang w:val="en-US"/>
        </w:rPr>
        <w:t xml:space="preserve"> </w:t>
      </w:r>
    </w:p>
    <w:p w14:paraId="2A8D22A4" w14:textId="77777777" w:rsidR="00D1442B" w:rsidRPr="00D81B73" w:rsidRDefault="00D1442B" w:rsidP="00D1442B">
      <w:pPr>
        <w:pStyle w:val="ListParagraph"/>
        <w:ind w:left="360"/>
        <w:rPr>
          <w:b/>
          <w:bCs/>
          <w:color w:val="000000"/>
          <w:lang w:val="en-US"/>
        </w:rPr>
      </w:pPr>
    </w:p>
    <w:sectPr w:rsidR="00D1442B" w:rsidRPr="00D81B73">
      <w:footerReference w:type="even" r:id="rId7"/>
      <w:foot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8094" w14:textId="77777777" w:rsidR="00072967" w:rsidRDefault="00072967" w:rsidP="00072967">
      <w:pPr>
        <w:spacing w:after="0" w:line="240" w:lineRule="auto"/>
      </w:pPr>
      <w:r>
        <w:separator/>
      </w:r>
    </w:p>
  </w:endnote>
  <w:endnote w:type="continuationSeparator" w:id="0">
    <w:p w14:paraId="655ED399" w14:textId="77777777" w:rsidR="00072967" w:rsidRDefault="00072967" w:rsidP="0007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0C35" w14:textId="409F29A0" w:rsidR="00072967" w:rsidRDefault="000729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0CC1F5" wp14:editId="76C34B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1474091680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96531" w14:textId="606BD3E1" w:rsidR="00072967" w:rsidRPr="00072967" w:rsidRDefault="00072967" w:rsidP="000729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9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CC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3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1B96531" w14:textId="606BD3E1" w:rsidR="00072967" w:rsidRPr="00072967" w:rsidRDefault="00072967" w:rsidP="000729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9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E633" w14:textId="073E77E0" w:rsidR="00072967" w:rsidRDefault="000729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8993B6" wp14:editId="0DD7E3A9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950213336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C27AB" w14:textId="3D3AAEA0" w:rsidR="00072967" w:rsidRPr="00072967" w:rsidRDefault="00072967" w:rsidP="000729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9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993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K1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16C27AB" w14:textId="3D3AAEA0" w:rsidR="00072967" w:rsidRPr="00072967" w:rsidRDefault="00072967" w:rsidP="000729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9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6D22" w14:textId="45C78352" w:rsidR="00072967" w:rsidRDefault="000729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05CC64" wp14:editId="20B60C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652463766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0E8CE" w14:textId="049FD598" w:rsidR="00072967" w:rsidRPr="00072967" w:rsidRDefault="00072967" w:rsidP="0007296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9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5CC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s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670E8CE" w14:textId="049FD598" w:rsidR="00072967" w:rsidRPr="00072967" w:rsidRDefault="00072967" w:rsidP="0007296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96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5BE0" w14:textId="77777777" w:rsidR="00072967" w:rsidRDefault="00072967" w:rsidP="00072967">
      <w:pPr>
        <w:spacing w:after="0" w:line="240" w:lineRule="auto"/>
      </w:pPr>
      <w:r>
        <w:separator/>
      </w:r>
    </w:p>
  </w:footnote>
  <w:footnote w:type="continuationSeparator" w:id="0">
    <w:p w14:paraId="2D7A473B" w14:textId="77777777" w:rsidR="00072967" w:rsidRDefault="00072967" w:rsidP="00072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DE"/>
    <w:multiLevelType w:val="hybridMultilevel"/>
    <w:tmpl w:val="9FC6FBFC"/>
    <w:lvl w:ilvl="0" w:tplc="65B65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7A88"/>
    <w:multiLevelType w:val="hybridMultilevel"/>
    <w:tmpl w:val="E8DCB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2365"/>
    <w:multiLevelType w:val="hybridMultilevel"/>
    <w:tmpl w:val="E5A81E38"/>
    <w:lvl w:ilvl="0" w:tplc="08C0F1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33324"/>
    <w:multiLevelType w:val="hybridMultilevel"/>
    <w:tmpl w:val="DB586D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43FE3"/>
    <w:multiLevelType w:val="hybridMultilevel"/>
    <w:tmpl w:val="9B2A02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106619">
    <w:abstractNumId w:val="2"/>
  </w:num>
  <w:num w:numId="2" w16cid:durableId="1044328055">
    <w:abstractNumId w:val="4"/>
  </w:num>
  <w:num w:numId="3" w16cid:durableId="878014864">
    <w:abstractNumId w:val="3"/>
  </w:num>
  <w:num w:numId="4" w16cid:durableId="1264456371">
    <w:abstractNumId w:val="1"/>
  </w:num>
  <w:num w:numId="5" w16cid:durableId="98955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2"/>
    <w:rsid w:val="00046874"/>
    <w:rsid w:val="00050DE2"/>
    <w:rsid w:val="00072967"/>
    <w:rsid w:val="00161C82"/>
    <w:rsid w:val="001F7B6A"/>
    <w:rsid w:val="00290ACE"/>
    <w:rsid w:val="002E09B5"/>
    <w:rsid w:val="003F59C6"/>
    <w:rsid w:val="00407A84"/>
    <w:rsid w:val="00476644"/>
    <w:rsid w:val="0049252A"/>
    <w:rsid w:val="005E4E47"/>
    <w:rsid w:val="006315AA"/>
    <w:rsid w:val="00676145"/>
    <w:rsid w:val="006B3759"/>
    <w:rsid w:val="006D27CC"/>
    <w:rsid w:val="00700D34"/>
    <w:rsid w:val="00717732"/>
    <w:rsid w:val="007325BD"/>
    <w:rsid w:val="0077446D"/>
    <w:rsid w:val="00861247"/>
    <w:rsid w:val="0086155C"/>
    <w:rsid w:val="008B3A5E"/>
    <w:rsid w:val="008C311F"/>
    <w:rsid w:val="009D6F89"/>
    <w:rsid w:val="00A4310F"/>
    <w:rsid w:val="00BA26C9"/>
    <w:rsid w:val="00BD27A1"/>
    <w:rsid w:val="00C213FE"/>
    <w:rsid w:val="00C623AF"/>
    <w:rsid w:val="00C8607B"/>
    <w:rsid w:val="00CF211C"/>
    <w:rsid w:val="00D1442B"/>
    <w:rsid w:val="00D81B73"/>
    <w:rsid w:val="00E8063E"/>
    <w:rsid w:val="00F2631B"/>
    <w:rsid w:val="00FC4882"/>
    <w:rsid w:val="00FD54F0"/>
    <w:rsid w:val="00F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1475"/>
  <w15:chartTrackingRefBased/>
  <w15:docId w15:val="{9E8EA542-184C-4703-B719-E05B2032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73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7732"/>
    <w:rPr>
      <w:b/>
      <w:bCs/>
    </w:rPr>
  </w:style>
  <w:style w:type="character" w:styleId="Hyperlink">
    <w:name w:val="Hyperlink"/>
    <w:basedOn w:val="DefaultParagraphFont"/>
    <w:uiPriority w:val="99"/>
    <w:unhideWhenUsed/>
    <w:rsid w:val="008B3A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A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6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7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631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7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Ehlert, Judith</dc:creator>
  <cp:keywords/>
  <dc:description/>
  <cp:lastModifiedBy>Siegers, S.R. (Yayah)</cp:lastModifiedBy>
  <cp:revision>3</cp:revision>
  <dcterms:created xsi:type="dcterms:W3CDTF">2025-12-01T23:59:00Z</dcterms:created>
  <dcterms:modified xsi:type="dcterms:W3CDTF">2025-12-02T00:00:00Z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26e3ce96,57dcdaa0,38a31ad8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