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9AB1" w14:textId="77777777" w:rsidR="00993D91" w:rsidRDefault="00E01A96" w:rsidP="009153EF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EE0808">
        <w:rPr>
          <w:b/>
          <w:bCs/>
          <w:sz w:val="20"/>
          <w:szCs w:val="20"/>
          <w:lang w:val="en-US"/>
        </w:rPr>
        <w:t xml:space="preserve">1) </w:t>
      </w:r>
      <w:r w:rsidR="00B01E56" w:rsidRPr="00EE0808">
        <w:rPr>
          <w:b/>
          <w:bCs/>
          <w:sz w:val="20"/>
          <w:szCs w:val="20"/>
          <w:lang w:val="en-US"/>
        </w:rPr>
        <w:t>Title</w:t>
      </w:r>
      <w:r w:rsidR="00961E87">
        <w:rPr>
          <w:b/>
          <w:bCs/>
          <w:sz w:val="20"/>
          <w:szCs w:val="20"/>
          <w:lang w:val="en-US"/>
        </w:rPr>
        <w:t>:</w:t>
      </w:r>
      <w:r w:rsidR="00961E87">
        <w:rPr>
          <w:b/>
          <w:bCs/>
          <w:sz w:val="20"/>
          <w:szCs w:val="20"/>
          <w:lang w:val="en-US"/>
        </w:rPr>
        <w:tab/>
      </w:r>
    </w:p>
    <w:p w14:paraId="7A1126BC" w14:textId="0325A66B" w:rsidR="007B223E" w:rsidRPr="00961E87" w:rsidRDefault="00B01E56" w:rsidP="009153EF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961E87">
        <w:rPr>
          <w:i/>
          <w:iCs/>
          <w:sz w:val="20"/>
          <w:szCs w:val="20"/>
          <w:lang w:val="en-US"/>
        </w:rPr>
        <w:t xml:space="preserve">Transimperial </w:t>
      </w:r>
      <w:r w:rsidR="00FE070E" w:rsidRPr="00961E87">
        <w:rPr>
          <w:i/>
          <w:iCs/>
          <w:sz w:val="20"/>
          <w:szCs w:val="20"/>
          <w:lang w:val="en-US"/>
        </w:rPr>
        <w:t xml:space="preserve">approaches </w:t>
      </w:r>
      <w:r w:rsidR="003201A8">
        <w:rPr>
          <w:i/>
          <w:iCs/>
          <w:sz w:val="20"/>
          <w:szCs w:val="20"/>
          <w:lang w:val="en-US"/>
        </w:rPr>
        <w:t>in</w:t>
      </w:r>
      <w:r w:rsidR="00FE070E" w:rsidRPr="00961E87">
        <w:rPr>
          <w:i/>
          <w:iCs/>
          <w:sz w:val="20"/>
          <w:szCs w:val="20"/>
          <w:lang w:val="en-US"/>
        </w:rPr>
        <w:t xml:space="preserve"> Southeast Asian</w:t>
      </w:r>
      <w:r w:rsidR="005E0AC1">
        <w:rPr>
          <w:i/>
          <w:iCs/>
          <w:sz w:val="20"/>
          <w:szCs w:val="20"/>
          <w:lang w:val="en-US"/>
        </w:rPr>
        <w:t xml:space="preserve"> </w:t>
      </w:r>
      <w:r w:rsidR="00421FBC" w:rsidRPr="00961E87">
        <w:rPr>
          <w:i/>
          <w:iCs/>
          <w:sz w:val="20"/>
          <w:szCs w:val="20"/>
          <w:lang w:val="en-US"/>
        </w:rPr>
        <w:t>h</w:t>
      </w:r>
      <w:r w:rsidR="00FE070E" w:rsidRPr="00961E87">
        <w:rPr>
          <w:i/>
          <w:iCs/>
          <w:sz w:val="20"/>
          <w:szCs w:val="20"/>
          <w:lang w:val="en-US"/>
        </w:rPr>
        <w:t>istory</w:t>
      </w:r>
      <w:r w:rsidR="00A037B2" w:rsidRPr="00961E87">
        <w:rPr>
          <w:i/>
          <w:iCs/>
          <w:sz w:val="20"/>
          <w:szCs w:val="20"/>
          <w:lang w:val="en-US"/>
        </w:rPr>
        <w:t xml:space="preserve">: </w:t>
      </w:r>
      <w:r w:rsidR="00754854">
        <w:rPr>
          <w:i/>
          <w:iCs/>
          <w:sz w:val="20"/>
          <w:szCs w:val="20"/>
          <w:lang w:val="en-US"/>
        </w:rPr>
        <w:t>o</w:t>
      </w:r>
      <w:r w:rsidR="00F122D4" w:rsidRPr="00961E87">
        <w:rPr>
          <w:i/>
          <w:iCs/>
          <w:sz w:val="20"/>
          <w:szCs w:val="20"/>
          <w:lang w:val="en-US"/>
        </w:rPr>
        <w:t xml:space="preserve">pportunities, challenges, limitations. </w:t>
      </w:r>
      <w:r w:rsidR="00A037B2" w:rsidRPr="00961E87">
        <w:rPr>
          <w:i/>
          <w:iCs/>
          <w:sz w:val="20"/>
          <w:szCs w:val="20"/>
          <w:lang w:val="en-US"/>
        </w:rPr>
        <w:t xml:space="preserve"> </w:t>
      </w:r>
      <w:r w:rsidRPr="00961E87">
        <w:rPr>
          <w:i/>
          <w:iCs/>
          <w:sz w:val="20"/>
          <w:szCs w:val="20"/>
          <w:lang w:val="en-US"/>
        </w:rPr>
        <w:t xml:space="preserve"> </w:t>
      </w:r>
    </w:p>
    <w:p w14:paraId="3392E554" w14:textId="77777777" w:rsidR="00E01A96" w:rsidRPr="00EE0808" w:rsidRDefault="00E01A96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p w14:paraId="443D0B00" w14:textId="1847A79E" w:rsidR="00E01A96" w:rsidRPr="00EE0808" w:rsidRDefault="00E01A96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b/>
          <w:bCs/>
          <w:sz w:val="20"/>
          <w:szCs w:val="20"/>
          <w:lang w:val="en-US"/>
        </w:rPr>
        <w:t xml:space="preserve">2) </w:t>
      </w:r>
      <w:r w:rsidR="00B01E56" w:rsidRPr="00EE0808">
        <w:rPr>
          <w:b/>
          <w:bCs/>
          <w:sz w:val="20"/>
          <w:szCs w:val="20"/>
          <w:lang w:val="en-US"/>
        </w:rPr>
        <w:t xml:space="preserve">Convener </w:t>
      </w:r>
      <w:r w:rsidR="00B01E56" w:rsidRPr="00EE0808">
        <w:rPr>
          <w:b/>
          <w:bCs/>
          <w:sz w:val="20"/>
          <w:szCs w:val="20"/>
          <w:lang w:val="en-US"/>
        </w:rPr>
        <w:tab/>
      </w:r>
    </w:p>
    <w:p w14:paraId="1C4C32F9" w14:textId="77777777" w:rsidR="0026435E" w:rsidRPr="0095070D" w:rsidRDefault="00B01E56" w:rsidP="0026435E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95070D">
        <w:rPr>
          <w:sz w:val="20"/>
          <w:szCs w:val="20"/>
          <w:lang w:val="en-US"/>
        </w:rPr>
        <w:t>Dr. Bastiaan Nugteren</w:t>
      </w:r>
      <w:r w:rsidR="0026435E" w:rsidRPr="0095070D">
        <w:rPr>
          <w:sz w:val="20"/>
          <w:szCs w:val="20"/>
          <w:lang w:val="en-US"/>
        </w:rPr>
        <w:tab/>
      </w:r>
      <w:r w:rsidR="0026435E" w:rsidRPr="0095070D">
        <w:rPr>
          <w:sz w:val="20"/>
          <w:szCs w:val="20"/>
          <w:lang w:val="en-US"/>
        </w:rPr>
        <w:tab/>
      </w:r>
      <w:r w:rsidR="0026435E" w:rsidRPr="0095070D">
        <w:rPr>
          <w:sz w:val="20"/>
          <w:szCs w:val="20"/>
          <w:lang w:val="en-US"/>
        </w:rPr>
        <w:tab/>
      </w:r>
      <w:r w:rsidR="0026435E" w:rsidRPr="0095070D">
        <w:rPr>
          <w:sz w:val="20"/>
          <w:szCs w:val="20"/>
          <w:lang w:val="en-US"/>
        </w:rPr>
        <w:tab/>
        <w:t xml:space="preserve">Email: </w:t>
      </w:r>
      <w:r w:rsidR="0026435E">
        <w:fldChar w:fldCharType="begin"/>
      </w:r>
      <w:r w:rsidR="0026435E" w:rsidRPr="00A15D75">
        <w:rPr>
          <w:lang w:val="en-US"/>
        </w:rPr>
        <w:instrText>HYPERLINK "mailto:b.nugteren@rug.nl"</w:instrText>
      </w:r>
      <w:r w:rsidR="0026435E">
        <w:fldChar w:fldCharType="separate"/>
      </w:r>
      <w:r w:rsidR="0026435E" w:rsidRPr="0095070D">
        <w:rPr>
          <w:rStyle w:val="Hyperlink"/>
          <w:sz w:val="20"/>
          <w:szCs w:val="20"/>
          <w:lang w:val="en-US"/>
        </w:rPr>
        <w:t>b.nugteren@rug.nl</w:t>
      </w:r>
      <w:r w:rsidR="0026435E">
        <w:fldChar w:fldCharType="end"/>
      </w:r>
      <w:r w:rsidR="0026435E" w:rsidRPr="0095070D">
        <w:rPr>
          <w:sz w:val="20"/>
          <w:szCs w:val="20"/>
          <w:lang w:val="en-US"/>
        </w:rPr>
        <w:t xml:space="preserve"> </w:t>
      </w:r>
    </w:p>
    <w:p w14:paraId="60E4ACFF" w14:textId="68AAF0CE" w:rsidR="00B01E56" w:rsidRPr="00EE0808" w:rsidRDefault="00E01A96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sz w:val="20"/>
          <w:szCs w:val="20"/>
          <w:lang w:val="en-US"/>
        </w:rPr>
        <w:t xml:space="preserve">Assistant Professor in Modern Asian </w:t>
      </w:r>
      <w:proofErr w:type="gramStart"/>
      <w:r w:rsidRPr="00EE0808">
        <w:rPr>
          <w:sz w:val="20"/>
          <w:szCs w:val="20"/>
          <w:lang w:val="en-US"/>
        </w:rPr>
        <w:t xml:space="preserve">History </w:t>
      </w:r>
      <w:r w:rsidR="0026435E">
        <w:rPr>
          <w:sz w:val="20"/>
          <w:szCs w:val="20"/>
          <w:lang w:val="en-US"/>
        </w:rPr>
        <w:t xml:space="preserve"> </w:t>
      </w:r>
      <w:r w:rsidR="0026435E">
        <w:rPr>
          <w:sz w:val="20"/>
          <w:szCs w:val="20"/>
          <w:lang w:val="en-US"/>
        </w:rPr>
        <w:tab/>
      </w:r>
      <w:proofErr w:type="gramEnd"/>
      <w:r w:rsidR="00B01E56" w:rsidRPr="00EE0808">
        <w:rPr>
          <w:sz w:val="20"/>
          <w:szCs w:val="20"/>
          <w:lang w:val="en-US"/>
        </w:rPr>
        <w:t>University of Groninge</w:t>
      </w:r>
      <w:r w:rsidRPr="00EE0808">
        <w:rPr>
          <w:sz w:val="20"/>
          <w:szCs w:val="20"/>
          <w:lang w:val="en-US"/>
        </w:rPr>
        <w:t>n (RUG)</w:t>
      </w:r>
      <w:r w:rsidR="00CA620C" w:rsidRPr="00EE0808">
        <w:rPr>
          <w:sz w:val="20"/>
          <w:szCs w:val="20"/>
          <w:lang w:val="en-US"/>
        </w:rPr>
        <w:t>, Netherlands</w:t>
      </w:r>
      <w:r w:rsidR="0026435E">
        <w:rPr>
          <w:sz w:val="20"/>
          <w:szCs w:val="20"/>
          <w:lang w:val="en-US"/>
        </w:rPr>
        <w:t xml:space="preserve">. </w:t>
      </w:r>
      <w:r w:rsidR="0026435E">
        <w:rPr>
          <w:sz w:val="20"/>
          <w:szCs w:val="20"/>
          <w:lang w:val="en-US"/>
        </w:rPr>
        <w:tab/>
      </w:r>
      <w:r w:rsidR="00B01E56" w:rsidRPr="00EE0808">
        <w:rPr>
          <w:sz w:val="20"/>
          <w:szCs w:val="20"/>
          <w:lang w:val="en-US"/>
        </w:rPr>
        <w:t xml:space="preserve"> </w:t>
      </w:r>
    </w:p>
    <w:p w14:paraId="7E1D5996" w14:textId="77777777" w:rsidR="00E01A96" w:rsidRPr="00EE0808" w:rsidRDefault="00E01A96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p w14:paraId="6C96CB5C" w14:textId="38D1446E" w:rsidR="00B01E56" w:rsidRPr="00EE0808" w:rsidRDefault="00E01A96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b/>
          <w:bCs/>
          <w:sz w:val="20"/>
          <w:szCs w:val="20"/>
          <w:lang w:val="en-US"/>
        </w:rPr>
        <w:t>3) Brief description and explanation of chosen format:</w:t>
      </w:r>
      <w:r w:rsidRPr="00EE0808">
        <w:rPr>
          <w:sz w:val="20"/>
          <w:szCs w:val="20"/>
          <w:lang w:val="en-US"/>
        </w:rPr>
        <w:t xml:space="preserve"> </w:t>
      </w:r>
    </w:p>
    <w:p w14:paraId="47C1DDFA" w14:textId="1E7A385C" w:rsidR="00BA02EB" w:rsidRPr="00EE0808" w:rsidRDefault="00F407E7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sz w:val="20"/>
          <w:szCs w:val="20"/>
          <w:lang w:val="en-US"/>
        </w:rPr>
        <w:t>The chosen format of this panel will be a regular conference panel format with a brief introduction by the convener (5 minutes)</w:t>
      </w:r>
      <w:r w:rsidR="009153EF" w:rsidRPr="00EE0808">
        <w:rPr>
          <w:sz w:val="20"/>
          <w:szCs w:val="20"/>
          <w:lang w:val="en-US"/>
        </w:rPr>
        <w:t xml:space="preserve"> and</w:t>
      </w:r>
      <w:r w:rsidRPr="00EE0808">
        <w:rPr>
          <w:sz w:val="20"/>
          <w:szCs w:val="20"/>
          <w:lang w:val="en-US"/>
        </w:rPr>
        <w:t xml:space="preserve"> 3 or 4 presentations </w:t>
      </w:r>
      <w:proofErr w:type="gramStart"/>
      <w:r w:rsidRPr="00EE0808">
        <w:rPr>
          <w:sz w:val="20"/>
          <w:szCs w:val="20"/>
          <w:lang w:val="en-US"/>
        </w:rPr>
        <w:t xml:space="preserve">by </w:t>
      </w:r>
      <w:r w:rsidR="00710984" w:rsidRPr="00EE0808">
        <w:rPr>
          <w:sz w:val="20"/>
          <w:szCs w:val="20"/>
          <w:lang w:val="en-US"/>
        </w:rPr>
        <w:t xml:space="preserve"> </w:t>
      </w:r>
      <w:r w:rsidRPr="00EE0808">
        <w:rPr>
          <w:sz w:val="20"/>
          <w:szCs w:val="20"/>
          <w:lang w:val="en-US"/>
        </w:rPr>
        <w:t>scholars</w:t>
      </w:r>
      <w:proofErr w:type="gramEnd"/>
      <w:r w:rsidRPr="00EE0808">
        <w:rPr>
          <w:sz w:val="20"/>
          <w:szCs w:val="20"/>
          <w:lang w:val="en-US"/>
        </w:rPr>
        <w:t xml:space="preserve"> introducing their research </w:t>
      </w:r>
      <w:r w:rsidR="009153EF" w:rsidRPr="00EE0808">
        <w:rPr>
          <w:sz w:val="20"/>
          <w:szCs w:val="20"/>
          <w:lang w:val="en-US"/>
        </w:rPr>
        <w:t>(</w:t>
      </w:r>
      <w:r w:rsidR="00AE1229" w:rsidRPr="00EE0808">
        <w:rPr>
          <w:sz w:val="20"/>
          <w:szCs w:val="20"/>
          <w:lang w:val="en-US"/>
        </w:rPr>
        <w:t xml:space="preserve">15 minutes per presentation). </w:t>
      </w:r>
      <w:r w:rsidR="00710984" w:rsidRPr="00EE0808">
        <w:rPr>
          <w:sz w:val="20"/>
          <w:szCs w:val="20"/>
          <w:lang w:val="en-US"/>
        </w:rPr>
        <w:t xml:space="preserve">Preference will be given to junior scholars (PhD/postdoc), while the selection of papers </w:t>
      </w:r>
      <w:r w:rsidR="001F5A71">
        <w:rPr>
          <w:sz w:val="20"/>
          <w:szCs w:val="20"/>
          <w:lang w:val="en-US"/>
        </w:rPr>
        <w:t xml:space="preserve">also </w:t>
      </w:r>
      <w:r w:rsidR="00710984" w:rsidRPr="00EE0808">
        <w:rPr>
          <w:sz w:val="20"/>
          <w:szCs w:val="20"/>
          <w:lang w:val="en-US"/>
        </w:rPr>
        <w:t xml:space="preserve">strives for maintaining a diversity in </w:t>
      </w:r>
      <w:r w:rsidR="002B313A" w:rsidRPr="00EE0808">
        <w:rPr>
          <w:sz w:val="20"/>
          <w:szCs w:val="20"/>
          <w:lang w:val="en-US"/>
        </w:rPr>
        <w:t xml:space="preserve">voices and perspectives. </w:t>
      </w:r>
      <w:r w:rsidR="003E3E03" w:rsidRPr="00EE0808">
        <w:rPr>
          <w:sz w:val="20"/>
          <w:szCs w:val="20"/>
          <w:lang w:val="en-US"/>
        </w:rPr>
        <w:t>The overarching goal</w:t>
      </w:r>
      <w:r w:rsidR="00AE1229" w:rsidRPr="00EE0808">
        <w:rPr>
          <w:sz w:val="20"/>
          <w:szCs w:val="20"/>
          <w:lang w:val="en-US"/>
        </w:rPr>
        <w:t xml:space="preserve"> of the panel will be to explore the opportunities, challenges, and limitations of transimperial history – as a field, methodology, or perspective – for Southeast Asian </w:t>
      </w:r>
      <w:r w:rsidR="009E63F4" w:rsidRPr="00EE0808">
        <w:rPr>
          <w:sz w:val="20"/>
          <w:szCs w:val="20"/>
          <w:lang w:val="en-US"/>
        </w:rPr>
        <w:t>studies in general, and Southeast Asian history in particular</w:t>
      </w:r>
      <w:r w:rsidR="00AE1229" w:rsidRPr="00EE0808">
        <w:rPr>
          <w:sz w:val="20"/>
          <w:szCs w:val="20"/>
          <w:lang w:val="en-US"/>
        </w:rPr>
        <w:t xml:space="preserve">. Participants are </w:t>
      </w:r>
      <w:r w:rsidR="003F2300" w:rsidRPr="00EE0808">
        <w:rPr>
          <w:sz w:val="20"/>
          <w:szCs w:val="20"/>
          <w:lang w:val="en-US"/>
        </w:rPr>
        <w:t xml:space="preserve">therefore </w:t>
      </w:r>
      <w:r w:rsidR="00AE1229" w:rsidRPr="00EE0808">
        <w:rPr>
          <w:sz w:val="20"/>
          <w:szCs w:val="20"/>
          <w:lang w:val="en-US"/>
        </w:rPr>
        <w:t>invited to reflect on this</w:t>
      </w:r>
      <w:r w:rsidR="004B532D" w:rsidRPr="00EE0808">
        <w:rPr>
          <w:sz w:val="20"/>
          <w:szCs w:val="20"/>
          <w:lang w:val="en-US"/>
        </w:rPr>
        <w:t xml:space="preserve"> discussion</w:t>
      </w:r>
      <w:r w:rsidR="00AE1229" w:rsidRPr="00EE0808">
        <w:rPr>
          <w:sz w:val="20"/>
          <w:szCs w:val="20"/>
          <w:lang w:val="en-US"/>
        </w:rPr>
        <w:t xml:space="preserve"> both through </w:t>
      </w:r>
      <w:r w:rsidR="003F2300" w:rsidRPr="00EE0808">
        <w:rPr>
          <w:sz w:val="20"/>
          <w:szCs w:val="20"/>
          <w:lang w:val="en-US"/>
        </w:rPr>
        <w:t>the</w:t>
      </w:r>
      <w:r w:rsidR="00AE1229" w:rsidRPr="00EE0808">
        <w:rPr>
          <w:sz w:val="20"/>
          <w:szCs w:val="20"/>
          <w:lang w:val="en-US"/>
        </w:rPr>
        <w:t xml:space="preserve"> presentation</w:t>
      </w:r>
      <w:r w:rsidR="003F2300" w:rsidRPr="00EE0808">
        <w:rPr>
          <w:sz w:val="20"/>
          <w:szCs w:val="20"/>
          <w:lang w:val="en-US"/>
        </w:rPr>
        <w:t xml:space="preserve"> of their research</w:t>
      </w:r>
      <w:r w:rsidR="00AE1229" w:rsidRPr="00EE0808">
        <w:rPr>
          <w:sz w:val="20"/>
          <w:szCs w:val="20"/>
          <w:lang w:val="en-US"/>
        </w:rPr>
        <w:t xml:space="preserve"> </w:t>
      </w:r>
      <w:r w:rsidR="003F2300" w:rsidRPr="00EE0808">
        <w:rPr>
          <w:sz w:val="20"/>
          <w:szCs w:val="20"/>
          <w:lang w:val="en-US"/>
        </w:rPr>
        <w:t>as well as</w:t>
      </w:r>
      <w:r w:rsidR="00AE1229" w:rsidRPr="00EE0808">
        <w:rPr>
          <w:sz w:val="20"/>
          <w:szCs w:val="20"/>
          <w:lang w:val="en-US"/>
        </w:rPr>
        <w:t xml:space="preserve"> through the plenary discussion</w:t>
      </w:r>
      <w:r w:rsidR="00EC4658" w:rsidRPr="00EE0808">
        <w:rPr>
          <w:sz w:val="20"/>
          <w:szCs w:val="20"/>
          <w:lang w:val="en-US"/>
        </w:rPr>
        <w:t xml:space="preserve">, </w:t>
      </w:r>
      <w:r w:rsidR="003F2300" w:rsidRPr="00EE0808">
        <w:rPr>
          <w:sz w:val="20"/>
          <w:szCs w:val="20"/>
          <w:lang w:val="en-US"/>
        </w:rPr>
        <w:t xml:space="preserve">with </w:t>
      </w:r>
      <w:r w:rsidR="003E3E03" w:rsidRPr="00EE0808">
        <w:rPr>
          <w:sz w:val="20"/>
          <w:szCs w:val="20"/>
          <w:lang w:val="en-US"/>
        </w:rPr>
        <w:t>the latter</w:t>
      </w:r>
      <w:r w:rsidR="00EC4658" w:rsidRPr="00EE0808">
        <w:rPr>
          <w:sz w:val="20"/>
          <w:szCs w:val="20"/>
          <w:lang w:val="en-US"/>
        </w:rPr>
        <w:t xml:space="preserve"> </w:t>
      </w:r>
      <w:r w:rsidR="003E3E03" w:rsidRPr="00EE0808">
        <w:rPr>
          <w:sz w:val="20"/>
          <w:szCs w:val="20"/>
          <w:lang w:val="en-US"/>
        </w:rPr>
        <w:t>integrating</w:t>
      </w:r>
      <w:r w:rsidR="00EC4658" w:rsidRPr="00EE0808">
        <w:rPr>
          <w:sz w:val="20"/>
          <w:szCs w:val="20"/>
          <w:lang w:val="en-US"/>
        </w:rPr>
        <w:t xml:space="preserve"> questions and comments from the audience. </w:t>
      </w:r>
      <w:r w:rsidR="003F2300" w:rsidRPr="00EE0808">
        <w:rPr>
          <w:sz w:val="20"/>
          <w:szCs w:val="20"/>
          <w:lang w:val="en-US"/>
        </w:rPr>
        <w:t>To reach a diversity in themes and topics, participants</w:t>
      </w:r>
      <w:r w:rsidR="00411F79" w:rsidRPr="00EE0808">
        <w:rPr>
          <w:sz w:val="20"/>
          <w:szCs w:val="20"/>
          <w:lang w:val="en-US"/>
        </w:rPr>
        <w:t xml:space="preserve"> are welcome to share insights from various geographical and temporal </w:t>
      </w:r>
      <w:r w:rsidR="00F01A6D" w:rsidRPr="00EE0808">
        <w:rPr>
          <w:sz w:val="20"/>
          <w:szCs w:val="20"/>
          <w:lang w:val="en-US"/>
        </w:rPr>
        <w:t xml:space="preserve">contexts from Southeast Asian history. </w:t>
      </w:r>
      <w:r w:rsidR="00710984" w:rsidRPr="00EE0808">
        <w:rPr>
          <w:sz w:val="20"/>
          <w:szCs w:val="20"/>
          <w:lang w:val="en-US"/>
        </w:rPr>
        <w:t xml:space="preserve"> </w:t>
      </w:r>
    </w:p>
    <w:p w14:paraId="4E78FC65" w14:textId="77777777" w:rsidR="00BA02EB" w:rsidRPr="00EE0808" w:rsidRDefault="00BA02EB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p w14:paraId="0E4AA041" w14:textId="6866E973" w:rsidR="00BA02EB" w:rsidRPr="00EE0808" w:rsidRDefault="00BA02EB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b/>
          <w:bCs/>
          <w:sz w:val="20"/>
          <w:szCs w:val="20"/>
          <w:lang w:val="en-US"/>
        </w:rPr>
        <w:t>4) Brief description of panel</w:t>
      </w:r>
      <w:r w:rsidR="003A485B" w:rsidRPr="00EE0808">
        <w:rPr>
          <w:b/>
          <w:bCs/>
          <w:sz w:val="20"/>
          <w:szCs w:val="20"/>
          <w:lang w:val="en-US"/>
        </w:rPr>
        <w:t xml:space="preserve">: </w:t>
      </w:r>
    </w:p>
    <w:p w14:paraId="29AA39A2" w14:textId="7860E21C" w:rsidR="00926849" w:rsidRDefault="00761820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sz w:val="20"/>
          <w:szCs w:val="20"/>
          <w:lang w:val="en-US"/>
        </w:rPr>
        <w:t>This panel aims to critically engage with the opportunities, challenges, and limitations of transimperial history as a historical perspective for colonial histories of Southeast Asia.</w:t>
      </w:r>
      <w:r w:rsidR="00931595" w:rsidRPr="00EE0808">
        <w:rPr>
          <w:sz w:val="20"/>
          <w:szCs w:val="20"/>
          <w:lang w:val="en-US"/>
        </w:rPr>
        <w:t xml:space="preserve"> Emerging from a</w:t>
      </w:r>
      <w:r w:rsidR="00961E87">
        <w:rPr>
          <w:sz w:val="20"/>
          <w:szCs w:val="20"/>
          <w:lang w:val="en-US"/>
        </w:rPr>
        <w:t xml:space="preserve">n </w:t>
      </w:r>
      <w:r w:rsidR="00931595" w:rsidRPr="00EE0808">
        <w:rPr>
          <w:sz w:val="20"/>
          <w:szCs w:val="20"/>
          <w:lang w:val="en-US"/>
        </w:rPr>
        <w:t>extensive set of</w:t>
      </w:r>
      <w:r w:rsidR="00961E87">
        <w:rPr>
          <w:sz w:val="20"/>
          <w:szCs w:val="20"/>
          <w:lang w:val="en-US"/>
        </w:rPr>
        <w:t xml:space="preserve"> historiographical turns (transnational, imperial, global), </w:t>
      </w:r>
      <w:r w:rsidR="00931595" w:rsidRPr="00EE0808">
        <w:rPr>
          <w:sz w:val="20"/>
          <w:szCs w:val="20"/>
          <w:lang w:val="en-US"/>
        </w:rPr>
        <w:t>transimperial history</w:t>
      </w:r>
      <w:r w:rsidR="00961E87">
        <w:rPr>
          <w:sz w:val="20"/>
          <w:szCs w:val="20"/>
          <w:lang w:val="en-US"/>
        </w:rPr>
        <w:t xml:space="preserve">’s main aim is </w:t>
      </w:r>
      <w:r w:rsidR="00931595" w:rsidRPr="00EE0808">
        <w:rPr>
          <w:sz w:val="20"/>
          <w:szCs w:val="20"/>
          <w:lang w:val="en-US"/>
        </w:rPr>
        <w:t>to de-isolate histories of empires from their national historiographies</w:t>
      </w:r>
      <w:r w:rsidR="008415B1">
        <w:rPr>
          <w:sz w:val="20"/>
          <w:szCs w:val="20"/>
          <w:lang w:val="en-US"/>
        </w:rPr>
        <w:t>. It aims to do so</w:t>
      </w:r>
      <w:r w:rsidR="008415B1" w:rsidRPr="00EE0808">
        <w:rPr>
          <w:sz w:val="20"/>
          <w:szCs w:val="20"/>
          <w:lang w:val="en-US"/>
        </w:rPr>
        <w:t xml:space="preserve"> by </w:t>
      </w:r>
      <w:r w:rsidR="008415B1">
        <w:rPr>
          <w:sz w:val="20"/>
          <w:szCs w:val="20"/>
          <w:lang w:val="en-US"/>
        </w:rPr>
        <w:t>critically analyzing</w:t>
      </w:r>
      <w:r w:rsidR="008415B1" w:rsidRPr="00EE0808">
        <w:rPr>
          <w:sz w:val="20"/>
          <w:szCs w:val="20"/>
          <w:lang w:val="en-US"/>
        </w:rPr>
        <w:t xml:space="preserve"> cooperations, conflicts, and connectivity in the spaces between and beyond imperial boundaries </w:t>
      </w:r>
      <w:r w:rsidR="00396801" w:rsidRPr="00EE0808">
        <w:rPr>
          <w:sz w:val="20"/>
          <w:szCs w:val="20"/>
          <w:lang w:val="en-US"/>
        </w:rPr>
        <w:t xml:space="preserve">(Hedinger &amp; </w:t>
      </w:r>
      <w:proofErr w:type="spellStart"/>
      <w:r w:rsidR="00396801" w:rsidRPr="00EE0808">
        <w:rPr>
          <w:sz w:val="20"/>
          <w:szCs w:val="20"/>
          <w:lang w:val="en-US"/>
        </w:rPr>
        <w:t>Hée</w:t>
      </w:r>
      <w:proofErr w:type="spellEnd"/>
      <w:r w:rsidR="00396801" w:rsidRPr="00EE0808">
        <w:rPr>
          <w:sz w:val="20"/>
          <w:szCs w:val="20"/>
          <w:lang w:val="en-US"/>
        </w:rPr>
        <w:t>, 2018)</w:t>
      </w:r>
      <w:r w:rsidR="00931595" w:rsidRPr="00EE0808">
        <w:rPr>
          <w:sz w:val="20"/>
          <w:szCs w:val="20"/>
          <w:lang w:val="en-US"/>
        </w:rPr>
        <w:t xml:space="preserve">. </w:t>
      </w:r>
      <w:r w:rsidR="00E123D5" w:rsidRPr="00EE0808">
        <w:rPr>
          <w:sz w:val="20"/>
          <w:szCs w:val="20"/>
          <w:lang w:val="en-US"/>
        </w:rPr>
        <w:t xml:space="preserve">With formal colonies of British, Dutch, French, Spanish, American, Portuguese, and Japanese empires, and informal interactions with many other imperial powers, </w:t>
      </w:r>
      <w:r w:rsidR="00396801" w:rsidRPr="00EE0808">
        <w:rPr>
          <w:sz w:val="20"/>
          <w:szCs w:val="20"/>
          <w:lang w:val="en-US"/>
        </w:rPr>
        <w:t xml:space="preserve">one </w:t>
      </w:r>
      <w:r w:rsidR="00D55EA1">
        <w:rPr>
          <w:sz w:val="20"/>
          <w:szCs w:val="20"/>
          <w:lang w:val="en-US"/>
        </w:rPr>
        <w:t>can</w:t>
      </w:r>
      <w:r w:rsidR="00396801" w:rsidRPr="00EE0808">
        <w:rPr>
          <w:sz w:val="20"/>
          <w:szCs w:val="20"/>
          <w:lang w:val="en-US"/>
        </w:rPr>
        <w:t xml:space="preserve"> argue that </w:t>
      </w:r>
      <w:r w:rsidR="00961E87">
        <w:rPr>
          <w:sz w:val="20"/>
          <w:szCs w:val="20"/>
          <w:lang w:val="en-US"/>
        </w:rPr>
        <w:t>colonial histories</w:t>
      </w:r>
      <w:r w:rsidR="00396801" w:rsidRPr="00EE0808">
        <w:rPr>
          <w:sz w:val="20"/>
          <w:szCs w:val="20"/>
          <w:lang w:val="en-US"/>
        </w:rPr>
        <w:t xml:space="preserve"> of Southeast Asia </w:t>
      </w:r>
      <w:r w:rsidR="00961E87">
        <w:rPr>
          <w:sz w:val="20"/>
          <w:szCs w:val="20"/>
          <w:lang w:val="en-US"/>
        </w:rPr>
        <w:t>are</w:t>
      </w:r>
      <w:r w:rsidR="00396801" w:rsidRPr="00EE0808">
        <w:rPr>
          <w:sz w:val="20"/>
          <w:szCs w:val="20"/>
          <w:lang w:val="en-US"/>
        </w:rPr>
        <w:t xml:space="preserve"> fertile</w:t>
      </w:r>
      <w:r w:rsidR="00EE0808" w:rsidRPr="00EE0808">
        <w:rPr>
          <w:sz w:val="20"/>
          <w:szCs w:val="20"/>
          <w:lang w:val="en-US"/>
        </w:rPr>
        <w:t xml:space="preserve"> </w:t>
      </w:r>
      <w:r w:rsidR="00792883" w:rsidRPr="00EE0808">
        <w:rPr>
          <w:sz w:val="20"/>
          <w:szCs w:val="20"/>
          <w:lang w:val="en-US"/>
        </w:rPr>
        <w:t>ground</w:t>
      </w:r>
      <w:r w:rsidR="00396801" w:rsidRPr="00EE0808">
        <w:rPr>
          <w:sz w:val="20"/>
          <w:szCs w:val="20"/>
          <w:lang w:val="en-US"/>
        </w:rPr>
        <w:t xml:space="preserve"> for transimperial approaches</w:t>
      </w:r>
      <w:r w:rsidR="00E123D5" w:rsidRPr="00EE0808">
        <w:rPr>
          <w:sz w:val="20"/>
          <w:szCs w:val="20"/>
          <w:lang w:val="en-US"/>
        </w:rPr>
        <w:t>.</w:t>
      </w:r>
      <w:r w:rsidR="00EE0808" w:rsidRPr="00EE0808">
        <w:rPr>
          <w:sz w:val="20"/>
          <w:szCs w:val="20"/>
          <w:lang w:val="en-US"/>
        </w:rPr>
        <w:t xml:space="preserve"> </w:t>
      </w:r>
      <w:r w:rsidR="0079323D">
        <w:rPr>
          <w:sz w:val="20"/>
          <w:szCs w:val="20"/>
          <w:lang w:val="en-US"/>
        </w:rPr>
        <w:t>It is therefore surprising that during the last decade</w:t>
      </w:r>
      <w:r w:rsidR="00C4025B">
        <w:rPr>
          <w:sz w:val="20"/>
          <w:szCs w:val="20"/>
          <w:lang w:val="en-US"/>
        </w:rPr>
        <w:t>’s blossoming of this field</w:t>
      </w:r>
      <w:r w:rsidR="00EE0808" w:rsidRPr="00EE0808">
        <w:rPr>
          <w:sz w:val="20"/>
          <w:szCs w:val="20"/>
          <w:lang w:val="en-US"/>
        </w:rPr>
        <w:t xml:space="preserve">, </w:t>
      </w:r>
      <w:r w:rsidR="0079323D">
        <w:rPr>
          <w:sz w:val="20"/>
          <w:szCs w:val="20"/>
          <w:lang w:val="en-US"/>
        </w:rPr>
        <w:t xml:space="preserve">the </w:t>
      </w:r>
      <w:r w:rsidR="00961E87">
        <w:rPr>
          <w:sz w:val="20"/>
          <w:szCs w:val="20"/>
          <w:lang w:val="en-US"/>
        </w:rPr>
        <w:t>number</w:t>
      </w:r>
      <w:r w:rsidR="0079323D">
        <w:rPr>
          <w:sz w:val="20"/>
          <w:szCs w:val="20"/>
          <w:lang w:val="en-US"/>
        </w:rPr>
        <w:t xml:space="preserve"> of </w:t>
      </w:r>
      <w:r w:rsidR="00C22340">
        <w:rPr>
          <w:sz w:val="20"/>
          <w:szCs w:val="20"/>
          <w:lang w:val="en-US"/>
        </w:rPr>
        <w:t xml:space="preserve">transimperial histories </w:t>
      </w:r>
      <w:r w:rsidR="00961E87">
        <w:rPr>
          <w:sz w:val="20"/>
          <w:szCs w:val="20"/>
          <w:lang w:val="en-US"/>
        </w:rPr>
        <w:t>discussing colonialism in</w:t>
      </w:r>
      <w:r w:rsidR="00C22340">
        <w:rPr>
          <w:sz w:val="20"/>
          <w:szCs w:val="20"/>
          <w:lang w:val="en-US"/>
        </w:rPr>
        <w:t xml:space="preserve"> Southeast Asia have</w:t>
      </w:r>
      <w:r w:rsidR="0079323D">
        <w:rPr>
          <w:sz w:val="20"/>
          <w:szCs w:val="20"/>
          <w:lang w:val="en-US"/>
        </w:rPr>
        <w:t xml:space="preserve"> </w:t>
      </w:r>
      <w:r w:rsidR="00EE0808" w:rsidRPr="00EE0808">
        <w:rPr>
          <w:sz w:val="20"/>
          <w:szCs w:val="20"/>
          <w:lang w:val="en-US"/>
        </w:rPr>
        <w:t>been relatively scarce and</w:t>
      </w:r>
      <w:r w:rsidR="0079323D">
        <w:rPr>
          <w:sz w:val="20"/>
          <w:szCs w:val="20"/>
          <w:lang w:val="en-US"/>
        </w:rPr>
        <w:t xml:space="preserve"> </w:t>
      </w:r>
      <w:r w:rsidR="00926849">
        <w:rPr>
          <w:sz w:val="20"/>
          <w:szCs w:val="20"/>
          <w:lang w:val="en-US"/>
        </w:rPr>
        <w:t xml:space="preserve">remain somewhat </w:t>
      </w:r>
      <w:r w:rsidR="00EE0808" w:rsidRPr="00EE0808">
        <w:rPr>
          <w:sz w:val="20"/>
          <w:szCs w:val="20"/>
          <w:lang w:val="en-US"/>
        </w:rPr>
        <w:t>fragmented.</w:t>
      </w:r>
      <w:r w:rsidR="00E107E4">
        <w:rPr>
          <w:sz w:val="20"/>
          <w:szCs w:val="20"/>
          <w:lang w:val="en-US"/>
        </w:rPr>
        <w:t xml:space="preserve"> </w:t>
      </w:r>
    </w:p>
    <w:p w14:paraId="60D85EBC" w14:textId="77777777" w:rsidR="00926849" w:rsidRDefault="00926849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p w14:paraId="05F1A51B" w14:textId="36F6EB56" w:rsidR="00761820" w:rsidRDefault="00EE0808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sz w:val="20"/>
          <w:szCs w:val="20"/>
          <w:lang w:val="en-US"/>
        </w:rPr>
        <w:t xml:space="preserve">This panel </w:t>
      </w:r>
      <w:r w:rsidR="00E107E4">
        <w:rPr>
          <w:sz w:val="20"/>
          <w:szCs w:val="20"/>
          <w:lang w:val="en-US"/>
        </w:rPr>
        <w:t>brings</w:t>
      </w:r>
      <w:r w:rsidR="00961E87">
        <w:rPr>
          <w:sz w:val="20"/>
          <w:szCs w:val="20"/>
          <w:lang w:val="en-US"/>
        </w:rPr>
        <w:t xml:space="preserve"> together</w:t>
      </w:r>
      <w:r w:rsidRPr="00EE0808">
        <w:rPr>
          <w:sz w:val="20"/>
          <w:szCs w:val="20"/>
          <w:lang w:val="en-US"/>
        </w:rPr>
        <w:t xml:space="preserve"> scholars researching transimperial connections between</w:t>
      </w:r>
      <w:r w:rsidR="00961E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different </w:t>
      </w:r>
      <w:r w:rsidRPr="00EE0808">
        <w:rPr>
          <w:sz w:val="20"/>
          <w:szCs w:val="20"/>
          <w:lang w:val="en-US"/>
        </w:rPr>
        <w:t>Southeast Asian colonial contexts</w:t>
      </w:r>
      <w:r w:rsidR="00961E87">
        <w:rPr>
          <w:sz w:val="20"/>
          <w:szCs w:val="20"/>
          <w:lang w:val="en-US"/>
        </w:rPr>
        <w:t>, or those stretching beyond Southeast Asia into the wider world</w:t>
      </w:r>
      <w:r>
        <w:rPr>
          <w:sz w:val="20"/>
          <w:szCs w:val="20"/>
          <w:lang w:val="en-US"/>
        </w:rPr>
        <w:t xml:space="preserve">. </w:t>
      </w:r>
      <w:r w:rsidR="0088730F">
        <w:rPr>
          <w:sz w:val="20"/>
          <w:szCs w:val="20"/>
          <w:lang w:val="en-US"/>
        </w:rPr>
        <w:t>While a</w:t>
      </w:r>
      <w:r>
        <w:rPr>
          <w:sz w:val="20"/>
          <w:szCs w:val="20"/>
          <w:lang w:val="en-US"/>
        </w:rPr>
        <w:t xml:space="preserve">iming for a diversity in themes, geographies, time periods, </w:t>
      </w:r>
      <w:r w:rsidR="0088730F">
        <w:rPr>
          <w:sz w:val="20"/>
          <w:szCs w:val="20"/>
          <w:lang w:val="en-US"/>
        </w:rPr>
        <w:t xml:space="preserve">and types of connections, </w:t>
      </w:r>
      <w:r>
        <w:rPr>
          <w:sz w:val="20"/>
          <w:szCs w:val="20"/>
          <w:lang w:val="en-US"/>
        </w:rPr>
        <w:t xml:space="preserve">the papers presented in this panel will collectively reflect on </w:t>
      </w:r>
      <w:r w:rsidR="00926849">
        <w:rPr>
          <w:sz w:val="20"/>
          <w:szCs w:val="20"/>
          <w:lang w:val="en-US"/>
        </w:rPr>
        <w:t xml:space="preserve">how transimperial approaches can be complementary with regional approaches in </w:t>
      </w:r>
      <w:r w:rsidR="00926849">
        <w:rPr>
          <w:sz w:val="20"/>
          <w:szCs w:val="20"/>
          <w:lang w:val="en-US"/>
        </w:rPr>
        <w:lastRenderedPageBreak/>
        <w:t xml:space="preserve">Southeast Asian history. </w:t>
      </w:r>
      <w:r w:rsidR="00D55EA1">
        <w:rPr>
          <w:sz w:val="20"/>
          <w:szCs w:val="20"/>
          <w:lang w:val="en-US"/>
        </w:rPr>
        <w:t>At the same time, the panel</w:t>
      </w:r>
      <w:r w:rsidR="00636A62">
        <w:rPr>
          <w:sz w:val="20"/>
          <w:szCs w:val="20"/>
          <w:lang w:val="en-US"/>
        </w:rPr>
        <w:t xml:space="preserve">’s concluding discussion </w:t>
      </w:r>
      <w:r w:rsidR="00D55EA1">
        <w:rPr>
          <w:sz w:val="20"/>
          <w:szCs w:val="20"/>
          <w:lang w:val="en-US"/>
        </w:rPr>
        <w:t xml:space="preserve">will critically </w:t>
      </w:r>
      <w:r w:rsidR="00636A62">
        <w:rPr>
          <w:sz w:val="20"/>
          <w:szCs w:val="20"/>
          <w:lang w:val="en-US"/>
        </w:rPr>
        <w:t>engage with</w:t>
      </w:r>
      <w:r w:rsidR="00D55EA1">
        <w:rPr>
          <w:sz w:val="20"/>
          <w:szCs w:val="20"/>
          <w:lang w:val="en-US"/>
        </w:rPr>
        <w:t xml:space="preserve"> the limitations of </w:t>
      </w:r>
      <w:r w:rsidR="00926849">
        <w:rPr>
          <w:sz w:val="20"/>
          <w:szCs w:val="20"/>
          <w:lang w:val="en-US"/>
        </w:rPr>
        <w:t>the transimperial approach</w:t>
      </w:r>
      <w:r w:rsidR="003201A8">
        <w:rPr>
          <w:sz w:val="20"/>
          <w:szCs w:val="20"/>
          <w:lang w:val="en-US"/>
        </w:rPr>
        <w:t>, as such approaches may run the risk of re-affirming the centrality of European historical narratives in Southeast Asian historiography</w:t>
      </w:r>
      <w:r w:rsidR="00C4025B">
        <w:rPr>
          <w:sz w:val="20"/>
          <w:szCs w:val="20"/>
          <w:lang w:val="en-US"/>
        </w:rPr>
        <w:t xml:space="preserve">. </w:t>
      </w:r>
      <w:r w:rsidR="00926849">
        <w:rPr>
          <w:sz w:val="20"/>
          <w:szCs w:val="20"/>
          <w:lang w:val="en-US"/>
        </w:rPr>
        <w:t>P</w:t>
      </w:r>
      <w:r w:rsidR="0095070D">
        <w:rPr>
          <w:sz w:val="20"/>
          <w:szCs w:val="20"/>
          <w:lang w:val="en-US"/>
        </w:rPr>
        <w:t>articipants are</w:t>
      </w:r>
      <w:r w:rsidR="00926849">
        <w:rPr>
          <w:sz w:val="20"/>
          <w:szCs w:val="20"/>
          <w:lang w:val="en-US"/>
        </w:rPr>
        <w:t xml:space="preserve"> therefore</w:t>
      </w:r>
      <w:r w:rsidR="0095070D">
        <w:rPr>
          <w:sz w:val="20"/>
          <w:szCs w:val="20"/>
          <w:lang w:val="en-US"/>
        </w:rPr>
        <w:t xml:space="preserve"> </w:t>
      </w:r>
      <w:r w:rsidR="00926849">
        <w:rPr>
          <w:sz w:val="20"/>
          <w:szCs w:val="20"/>
          <w:lang w:val="en-US"/>
        </w:rPr>
        <w:t xml:space="preserve">specifically </w:t>
      </w:r>
      <w:r w:rsidR="0095070D">
        <w:rPr>
          <w:sz w:val="20"/>
          <w:szCs w:val="20"/>
          <w:lang w:val="en-US"/>
        </w:rPr>
        <w:t>invited to reflect on how</w:t>
      </w:r>
      <w:r w:rsidR="00926849">
        <w:rPr>
          <w:sz w:val="20"/>
          <w:szCs w:val="20"/>
          <w:lang w:val="en-US"/>
        </w:rPr>
        <w:t xml:space="preserve"> transimperial approaches can integrate decolonial perspectives and </w:t>
      </w:r>
      <w:r w:rsidR="008D53DA">
        <w:rPr>
          <w:sz w:val="20"/>
          <w:szCs w:val="20"/>
          <w:lang w:val="en-US"/>
        </w:rPr>
        <w:t xml:space="preserve">give </w:t>
      </w:r>
      <w:r w:rsidR="00926849">
        <w:rPr>
          <w:sz w:val="20"/>
          <w:szCs w:val="20"/>
          <w:lang w:val="en-US"/>
        </w:rPr>
        <w:t xml:space="preserve">sufficient attention </w:t>
      </w:r>
      <w:r w:rsidR="008D53DA">
        <w:rPr>
          <w:sz w:val="20"/>
          <w:szCs w:val="20"/>
          <w:lang w:val="en-US"/>
        </w:rPr>
        <w:t>to</w:t>
      </w:r>
      <w:r w:rsidR="00926849">
        <w:rPr>
          <w:sz w:val="20"/>
          <w:szCs w:val="20"/>
          <w:lang w:val="en-US"/>
        </w:rPr>
        <w:t xml:space="preserve"> the agencies of local populations</w:t>
      </w:r>
      <w:r w:rsidR="003201A8">
        <w:rPr>
          <w:sz w:val="20"/>
          <w:szCs w:val="20"/>
          <w:lang w:val="en-US"/>
        </w:rPr>
        <w:t xml:space="preserve"> in challenging, resisting, or appropriating such transimperial connections. </w:t>
      </w:r>
    </w:p>
    <w:p w14:paraId="2A8E182E" w14:textId="77777777" w:rsidR="00961E87" w:rsidRPr="00EE0808" w:rsidRDefault="00961E87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p w14:paraId="56994640" w14:textId="526F8144" w:rsidR="00BA02EB" w:rsidRPr="00EE0808" w:rsidRDefault="00BA02EB" w:rsidP="009153EF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EE0808">
        <w:rPr>
          <w:b/>
          <w:bCs/>
          <w:sz w:val="20"/>
          <w:szCs w:val="20"/>
          <w:lang w:val="en-US"/>
        </w:rPr>
        <w:t xml:space="preserve">5) Type of session: </w:t>
      </w:r>
    </w:p>
    <w:p w14:paraId="3D295B69" w14:textId="5C17A351" w:rsidR="00BA02EB" w:rsidRPr="00EE0808" w:rsidRDefault="00BA02EB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sz w:val="20"/>
          <w:szCs w:val="20"/>
          <w:lang w:val="en-US"/>
        </w:rPr>
        <w:t xml:space="preserve">Single session, 1x 90 minutes, </w:t>
      </w:r>
      <w:r w:rsidR="00ED26F3" w:rsidRPr="00EE0808">
        <w:rPr>
          <w:sz w:val="20"/>
          <w:szCs w:val="20"/>
          <w:lang w:val="en-US"/>
        </w:rPr>
        <w:t>minimum of 3 and maximum of 4</w:t>
      </w:r>
      <w:r w:rsidRPr="00EE0808">
        <w:rPr>
          <w:sz w:val="20"/>
          <w:szCs w:val="20"/>
          <w:lang w:val="en-US"/>
        </w:rPr>
        <w:t xml:space="preserve"> presenters. </w:t>
      </w:r>
    </w:p>
    <w:p w14:paraId="34B2054A" w14:textId="77777777" w:rsidR="00A02D90" w:rsidRPr="00EE0808" w:rsidRDefault="00A02D90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p w14:paraId="1F46FB83" w14:textId="77777777" w:rsidR="000D205B" w:rsidRPr="00EE0808" w:rsidRDefault="00BA02EB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  <w:r w:rsidRPr="00EE0808">
        <w:rPr>
          <w:b/>
          <w:bCs/>
          <w:sz w:val="20"/>
          <w:szCs w:val="20"/>
          <w:lang w:val="en-US"/>
        </w:rPr>
        <w:t>6) Discussant:</w:t>
      </w:r>
    </w:p>
    <w:p w14:paraId="26EF76FC" w14:textId="324EEC43" w:rsidR="00BA02EB" w:rsidRPr="00EE0808" w:rsidRDefault="000D205B" w:rsidP="009153EF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  <w:r w:rsidRPr="00EE0808">
        <w:rPr>
          <w:sz w:val="20"/>
          <w:szCs w:val="20"/>
          <w:lang w:val="en-US"/>
        </w:rPr>
        <w:t>To be decided</w:t>
      </w:r>
      <w:r w:rsidR="00AE1229" w:rsidRPr="00EE0808">
        <w:rPr>
          <w:sz w:val="20"/>
          <w:szCs w:val="20"/>
          <w:lang w:val="en-US"/>
        </w:rPr>
        <w:t>, possibly by the convener himself</w:t>
      </w:r>
      <w:r w:rsidRPr="00EE0808">
        <w:rPr>
          <w:sz w:val="20"/>
          <w:szCs w:val="20"/>
          <w:lang w:val="en-US"/>
        </w:rPr>
        <w:t xml:space="preserve">. </w:t>
      </w:r>
      <w:r w:rsidR="00AE1229" w:rsidRPr="00EE0808">
        <w:rPr>
          <w:sz w:val="20"/>
          <w:szCs w:val="20"/>
          <w:lang w:val="en-US"/>
        </w:rPr>
        <w:t xml:space="preserve">The focus of the panel will be on </w:t>
      </w:r>
      <w:proofErr w:type="gramStart"/>
      <w:r w:rsidR="00AE1229" w:rsidRPr="00EE0808">
        <w:rPr>
          <w:sz w:val="20"/>
          <w:szCs w:val="20"/>
          <w:lang w:val="en-US"/>
        </w:rPr>
        <w:t>facilitating  discussion</w:t>
      </w:r>
      <w:proofErr w:type="gramEnd"/>
      <w:r w:rsidR="00AE1229" w:rsidRPr="00EE0808">
        <w:rPr>
          <w:sz w:val="20"/>
          <w:szCs w:val="20"/>
          <w:lang w:val="en-US"/>
        </w:rPr>
        <w:t xml:space="preserve"> between participants</w:t>
      </w:r>
      <w:r w:rsidR="00F01A6D" w:rsidRPr="00EE0808">
        <w:rPr>
          <w:sz w:val="20"/>
          <w:szCs w:val="20"/>
          <w:lang w:val="en-US"/>
        </w:rPr>
        <w:t xml:space="preserve"> and audience, moderated by the convener of the panel</w:t>
      </w:r>
      <w:r w:rsidR="00AE1229" w:rsidRPr="00EE0808">
        <w:rPr>
          <w:sz w:val="20"/>
          <w:szCs w:val="20"/>
          <w:lang w:val="en-US"/>
        </w:rPr>
        <w:t>. The convener</w:t>
      </w:r>
      <w:r w:rsidR="00367382">
        <w:rPr>
          <w:sz w:val="20"/>
          <w:szCs w:val="20"/>
          <w:lang w:val="en-US"/>
        </w:rPr>
        <w:t xml:space="preserve"> and/or discussant</w:t>
      </w:r>
      <w:r w:rsidR="00AE1229" w:rsidRPr="00EE0808">
        <w:rPr>
          <w:sz w:val="20"/>
          <w:szCs w:val="20"/>
          <w:lang w:val="en-US"/>
        </w:rPr>
        <w:t xml:space="preserve"> will provide feedback on participants’ work in written form, </w:t>
      </w:r>
      <w:proofErr w:type="gramStart"/>
      <w:r w:rsidR="000B6B44">
        <w:rPr>
          <w:sz w:val="20"/>
          <w:szCs w:val="20"/>
          <w:lang w:val="en-US"/>
        </w:rPr>
        <w:t>in order to</w:t>
      </w:r>
      <w:proofErr w:type="gramEnd"/>
      <w:r w:rsidR="000B6B44">
        <w:rPr>
          <w:sz w:val="20"/>
          <w:szCs w:val="20"/>
          <w:lang w:val="en-US"/>
        </w:rPr>
        <w:t xml:space="preserve"> reserve valuable time for questions from the audience and the final discussion. </w:t>
      </w:r>
      <w:r w:rsidR="00AE1229" w:rsidRPr="00EE0808">
        <w:rPr>
          <w:sz w:val="20"/>
          <w:szCs w:val="20"/>
          <w:lang w:val="en-US"/>
        </w:rPr>
        <w:t xml:space="preserve"> </w:t>
      </w:r>
    </w:p>
    <w:p w14:paraId="77522664" w14:textId="77777777" w:rsidR="000D205B" w:rsidRPr="00EE0808" w:rsidRDefault="000D205B" w:rsidP="009153EF">
      <w:pPr>
        <w:pStyle w:val="NoSpacing"/>
        <w:spacing w:line="360" w:lineRule="auto"/>
        <w:jc w:val="both"/>
        <w:rPr>
          <w:b/>
          <w:bCs/>
          <w:sz w:val="20"/>
          <w:szCs w:val="20"/>
          <w:lang w:val="en-US"/>
        </w:rPr>
      </w:pPr>
    </w:p>
    <w:p w14:paraId="4B9D9104" w14:textId="77777777" w:rsidR="000D205B" w:rsidRPr="00EE0808" w:rsidRDefault="000D205B" w:rsidP="009153EF">
      <w:pPr>
        <w:pStyle w:val="NoSpacing"/>
        <w:spacing w:line="360" w:lineRule="auto"/>
        <w:jc w:val="both"/>
        <w:rPr>
          <w:sz w:val="20"/>
          <w:szCs w:val="20"/>
          <w:lang w:val="en-US"/>
        </w:rPr>
      </w:pPr>
    </w:p>
    <w:sectPr w:rsidR="000D205B" w:rsidRPr="00EE0808" w:rsidSect="00C41A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3FC"/>
    <w:multiLevelType w:val="hybridMultilevel"/>
    <w:tmpl w:val="DD2A251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4D99"/>
    <w:multiLevelType w:val="hybridMultilevel"/>
    <w:tmpl w:val="08A865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03561"/>
    <w:multiLevelType w:val="hybridMultilevel"/>
    <w:tmpl w:val="41A814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546D1"/>
    <w:multiLevelType w:val="hybridMultilevel"/>
    <w:tmpl w:val="24E4A44C"/>
    <w:lvl w:ilvl="0" w:tplc="9DC87B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40386">
    <w:abstractNumId w:val="2"/>
  </w:num>
  <w:num w:numId="2" w16cid:durableId="779759758">
    <w:abstractNumId w:val="1"/>
  </w:num>
  <w:num w:numId="3" w16cid:durableId="1948269409">
    <w:abstractNumId w:val="3"/>
  </w:num>
  <w:num w:numId="4" w16cid:durableId="98234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A4"/>
    <w:rsid w:val="000771A4"/>
    <w:rsid w:val="000B6B44"/>
    <w:rsid w:val="000C3931"/>
    <w:rsid w:val="000D205B"/>
    <w:rsid w:val="000D362F"/>
    <w:rsid w:val="001F5A71"/>
    <w:rsid w:val="0025032B"/>
    <w:rsid w:val="0026435E"/>
    <w:rsid w:val="002B313A"/>
    <w:rsid w:val="003201A8"/>
    <w:rsid w:val="00367382"/>
    <w:rsid w:val="00394F3E"/>
    <w:rsid w:val="00396801"/>
    <w:rsid w:val="003A0779"/>
    <w:rsid w:val="003A485B"/>
    <w:rsid w:val="003E3E03"/>
    <w:rsid w:val="003F2300"/>
    <w:rsid w:val="00411F79"/>
    <w:rsid w:val="00421FBC"/>
    <w:rsid w:val="004B3ED8"/>
    <w:rsid w:val="004B532D"/>
    <w:rsid w:val="00562F67"/>
    <w:rsid w:val="005A7DD7"/>
    <w:rsid w:val="005E0AC1"/>
    <w:rsid w:val="00621277"/>
    <w:rsid w:val="00636A62"/>
    <w:rsid w:val="00710984"/>
    <w:rsid w:val="00754854"/>
    <w:rsid w:val="00761820"/>
    <w:rsid w:val="00792883"/>
    <w:rsid w:val="0079323D"/>
    <w:rsid w:val="007B223E"/>
    <w:rsid w:val="008415B1"/>
    <w:rsid w:val="0085308B"/>
    <w:rsid w:val="0088730F"/>
    <w:rsid w:val="008D53DA"/>
    <w:rsid w:val="008E47AD"/>
    <w:rsid w:val="008F2F2D"/>
    <w:rsid w:val="009153EF"/>
    <w:rsid w:val="00925871"/>
    <w:rsid w:val="00926849"/>
    <w:rsid w:val="00931595"/>
    <w:rsid w:val="0095070D"/>
    <w:rsid w:val="00961E87"/>
    <w:rsid w:val="00974ABB"/>
    <w:rsid w:val="00993D91"/>
    <w:rsid w:val="009E63F4"/>
    <w:rsid w:val="00A02D90"/>
    <w:rsid w:val="00A037B2"/>
    <w:rsid w:val="00A15D75"/>
    <w:rsid w:val="00A9054C"/>
    <w:rsid w:val="00AB79F2"/>
    <w:rsid w:val="00AE1229"/>
    <w:rsid w:val="00B01E56"/>
    <w:rsid w:val="00B603A4"/>
    <w:rsid w:val="00B95CC8"/>
    <w:rsid w:val="00BA02EB"/>
    <w:rsid w:val="00BA6A82"/>
    <w:rsid w:val="00C22340"/>
    <w:rsid w:val="00C4025B"/>
    <w:rsid w:val="00C41AEA"/>
    <w:rsid w:val="00CA620C"/>
    <w:rsid w:val="00D079FB"/>
    <w:rsid w:val="00D55EA1"/>
    <w:rsid w:val="00E01A96"/>
    <w:rsid w:val="00E107E4"/>
    <w:rsid w:val="00E123D5"/>
    <w:rsid w:val="00E51767"/>
    <w:rsid w:val="00EC4658"/>
    <w:rsid w:val="00ED26F3"/>
    <w:rsid w:val="00EE0808"/>
    <w:rsid w:val="00F01A6D"/>
    <w:rsid w:val="00F122D4"/>
    <w:rsid w:val="00F3670F"/>
    <w:rsid w:val="00F407E7"/>
    <w:rsid w:val="00F733D3"/>
    <w:rsid w:val="00FC3C05"/>
    <w:rsid w:val="00FE070E"/>
    <w:rsid w:val="00FE5F50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DA8A"/>
  <w15:chartTrackingRefBased/>
  <w15:docId w15:val="{79687326-1F71-426E-B231-CB76BEF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1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E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E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01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Bastiaan Nugteren</dc:creator>
  <cp:keywords/>
  <dc:description/>
  <cp:lastModifiedBy>Sikko Visscher</cp:lastModifiedBy>
  <cp:revision>2</cp:revision>
  <dcterms:created xsi:type="dcterms:W3CDTF">2026-01-06T12:36:00Z</dcterms:created>
  <dcterms:modified xsi:type="dcterms:W3CDTF">2026-01-06T12:36:00Z</dcterms:modified>
</cp:coreProperties>
</file>