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B72F043" w14:textId="77777777" w:rsidR="00AA3D84" w:rsidRDefault="004B7EC8">
      <w:pPr>
        <w:jc w:val="center"/>
        <w:rPr>
          <w:rFonts w:ascii="Newsreader" w:eastAsia="Newsreader" w:hAnsi="Newsreader" w:cs="Newsreader"/>
          <w:b/>
        </w:rPr>
      </w:pPr>
      <w:r>
        <w:rPr>
          <w:rFonts w:ascii="Newsreader" w:eastAsia="Newsreader" w:hAnsi="Newsreader" w:cs="Newsreader"/>
          <w:b/>
        </w:rPr>
        <w:t>European Association for Southeast Asian Studies (EuroSEAS)</w:t>
      </w:r>
    </w:p>
    <w:p w14:paraId="33783BBE" w14:textId="77777777" w:rsidR="00AA3D84" w:rsidRDefault="004B7EC8">
      <w:pPr>
        <w:jc w:val="center"/>
        <w:rPr>
          <w:rFonts w:ascii="Newsreader" w:eastAsia="Newsreader" w:hAnsi="Newsreader" w:cs="Newsreader"/>
          <w:b/>
        </w:rPr>
      </w:pPr>
      <w:r>
        <w:rPr>
          <w:rFonts w:ascii="Newsreader" w:eastAsia="Newsreader" w:hAnsi="Newsreader" w:cs="Newsreader"/>
          <w:b/>
        </w:rPr>
        <w:t>14th Conference - Universidad Complutense de Madrid</w:t>
      </w:r>
    </w:p>
    <w:p w14:paraId="2698B62D" w14:textId="77777777" w:rsidR="00AA3D84" w:rsidRDefault="00AA3D84">
      <w:pPr>
        <w:jc w:val="center"/>
        <w:rPr>
          <w:rFonts w:ascii="Newsreader" w:eastAsia="Newsreader" w:hAnsi="Newsreader" w:cs="Newsreader"/>
          <w:b/>
        </w:rPr>
      </w:pPr>
    </w:p>
    <w:p w14:paraId="4B91A122" w14:textId="77777777" w:rsidR="00AA3D84" w:rsidRDefault="004B7EC8">
      <w:pPr>
        <w:jc w:val="center"/>
        <w:rPr>
          <w:rFonts w:ascii="Newsreader" w:eastAsia="Newsreader" w:hAnsi="Newsreader" w:cs="Newsreader"/>
          <w:b/>
        </w:rPr>
      </w:pPr>
      <w:r>
        <w:rPr>
          <w:rFonts w:ascii="Newsreader" w:eastAsia="Newsreader" w:hAnsi="Newsreader" w:cs="Newsreader"/>
          <w:b/>
        </w:rPr>
        <w:t>Panel Proposal</w:t>
      </w:r>
    </w:p>
    <w:p w14:paraId="2CDF6574" w14:textId="77777777" w:rsidR="00AA3D84" w:rsidRDefault="00AA3D84">
      <w:pPr>
        <w:spacing w:after="200"/>
        <w:jc w:val="center"/>
        <w:rPr>
          <w:rFonts w:ascii="Newsreader" w:eastAsia="Newsreader" w:hAnsi="Newsreader" w:cs="Newsreader"/>
          <w:b/>
        </w:rPr>
      </w:pPr>
    </w:p>
    <w:tbl>
      <w:tblPr>
        <w:tblStyle w:val="a"/>
        <w:tblW w:w="9000" w:type="dxa"/>
        <w:tblInd w:w="0" w:type="dxa"/>
        <w:tblLayout w:type="fixed"/>
        <w:tblLook w:val="0600" w:firstRow="0" w:lastRow="0" w:firstColumn="0" w:lastColumn="0" w:noHBand="1" w:noVBand="1"/>
      </w:tblPr>
      <w:tblGrid>
        <w:gridCol w:w="2059"/>
        <w:gridCol w:w="6941"/>
      </w:tblGrid>
      <w:tr w:rsidR="00AA3D84" w14:paraId="0A0AF533" w14:textId="77777777">
        <w:tc>
          <w:tcPr>
            <w:tcW w:w="2059" w:type="dxa"/>
            <w:tcMar>
              <w:top w:w="100" w:type="dxa"/>
              <w:left w:w="100" w:type="dxa"/>
              <w:bottom w:w="100" w:type="dxa"/>
              <w:right w:w="100" w:type="dxa"/>
            </w:tcMar>
          </w:tcPr>
          <w:p w14:paraId="1143CD4A" w14:textId="77777777" w:rsidR="00AA3D84" w:rsidRDefault="004B7EC8">
            <w:pPr>
              <w:spacing w:after="200"/>
              <w:rPr>
                <w:rFonts w:ascii="Newsreader" w:eastAsia="Newsreader" w:hAnsi="Newsreader" w:cs="Newsreader"/>
                <w:b/>
              </w:rPr>
            </w:pPr>
            <w:r>
              <w:rPr>
                <w:rFonts w:ascii="Newsreader" w:eastAsia="Newsreader" w:hAnsi="Newsreader" w:cs="Newsreader"/>
                <w:b/>
              </w:rPr>
              <w:t>(1) Panel Title:</w:t>
            </w:r>
          </w:p>
        </w:tc>
        <w:tc>
          <w:tcPr>
            <w:tcW w:w="6940" w:type="dxa"/>
            <w:tcMar>
              <w:top w:w="100" w:type="dxa"/>
              <w:left w:w="100" w:type="dxa"/>
              <w:bottom w:w="100" w:type="dxa"/>
              <w:right w:w="100" w:type="dxa"/>
            </w:tcMar>
          </w:tcPr>
          <w:p w14:paraId="7127418F" w14:textId="77777777" w:rsidR="00AA3D84" w:rsidRDefault="004B7EC8">
            <w:pPr>
              <w:widowControl w:val="0"/>
              <w:pBdr>
                <w:top w:val="nil"/>
                <w:left w:val="nil"/>
                <w:bottom w:val="nil"/>
                <w:right w:val="nil"/>
                <w:between w:val="nil"/>
              </w:pBdr>
              <w:spacing w:after="200" w:line="240" w:lineRule="auto"/>
              <w:rPr>
                <w:rFonts w:ascii="Newsreader" w:eastAsia="Newsreader" w:hAnsi="Newsreader" w:cs="Newsreader"/>
                <w:b/>
              </w:rPr>
            </w:pPr>
            <w:r>
              <w:rPr>
                <w:rFonts w:ascii="Newsreader" w:eastAsia="Newsreader" w:hAnsi="Newsreader" w:cs="Newsreader"/>
                <w:b/>
              </w:rPr>
              <w:t>Tourism by and among Communities: Minority Identities in Transition amidst the Creation of Tourist Industries in Southeast Asia.</w:t>
            </w:r>
          </w:p>
        </w:tc>
      </w:tr>
      <w:tr w:rsidR="00AA3D84" w14:paraId="4474F3BC" w14:textId="77777777">
        <w:tc>
          <w:tcPr>
            <w:tcW w:w="2059" w:type="dxa"/>
            <w:tcMar>
              <w:top w:w="100" w:type="dxa"/>
              <w:left w:w="100" w:type="dxa"/>
              <w:bottom w:w="100" w:type="dxa"/>
              <w:right w:w="100" w:type="dxa"/>
            </w:tcMar>
          </w:tcPr>
          <w:p w14:paraId="616D6EE1" w14:textId="77777777" w:rsidR="00AA3D84" w:rsidRDefault="004B7EC8">
            <w:pPr>
              <w:spacing w:after="200"/>
              <w:rPr>
                <w:rFonts w:ascii="Newsreader" w:eastAsia="Newsreader" w:hAnsi="Newsreader" w:cs="Newsreader"/>
                <w:b/>
              </w:rPr>
            </w:pPr>
            <w:r>
              <w:rPr>
                <w:rFonts w:ascii="Newsreader" w:eastAsia="Newsreader" w:hAnsi="Newsreader" w:cs="Newsreader"/>
                <w:b/>
              </w:rPr>
              <w:t xml:space="preserve">       Key Words:</w:t>
            </w:r>
          </w:p>
        </w:tc>
        <w:tc>
          <w:tcPr>
            <w:tcW w:w="6940" w:type="dxa"/>
            <w:tcMar>
              <w:top w:w="100" w:type="dxa"/>
              <w:left w:w="100" w:type="dxa"/>
              <w:bottom w:w="100" w:type="dxa"/>
              <w:right w:w="100" w:type="dxa"/>
            </w:tcMar>
          </w:tcPr>
          <w:p w14:paraId="3E43A746" w14:textId="77777777" w:rsidR="00AA3D84" w:rsidRDefault="004B7EC8">
            <w:pPr>
              <w:widowControl w:val="0"/>
              <w:spacing w:after="200" w:line="240" w:lineRule="auto"/>
              <w:rPr>
                <w:rFonts w:ascii="Newsreader" w:eastAsia="Newsreader" w:hAnsi="Newsreader" w:cs="Newsreader"/>
              </w:rPr>
            </w:pPr>
            <w:r>
              <w:rPr>
                <w:rFonts w:ascii="Newsreader" w:eastAsia="Newsreader" w:hAnsi="Newsreader" w:cs="Newsreader"/>
              </w:rPr>
              <w:t>Tourism, minorities, ethnicities, gender, nationalism, and regionalism</w:t>
            </w:r>
          </w:p>
        </w:tc>
      </w:tr>
      <w:tr w:rsidR="00AA3D84" w14:paraId="7501B697" w14:textId="77777777">
        <w:tc>
          <w:tcPr>
            <w:tcW w:w="2059" w:type="dxa"/>
            <w:tcMar>
              <w:top w:w="100" w:type="dxa"/>
              <w:left w:w="100" w:type="dxa"/>
              <w:bottom w:w="100" w:type="dxa"/>
              <w:right w:w="100" w:type="dxa"/>
            </w:tcMar>
          </w:tcPr>
          <w:p w14:paraId="55B73BD4" w14:textId="77777777" w:rsidR="00AA3D84" w:rsidRDefault="004B7EC8">
            <w:pPr>
              <w:spacing w:after="200"/>
              <w:rPr>
                <w:rFonts w:ascii="Newsreader" w:eastAsia="Newsreader" w:hAnsi="Newsreader" w:cs="Newsreader"/>
                <w:b/>
              </w:rPr>
            </w:pPr>
            <w:r>
              <w:rPr>
                <w:rFonts w:ascii="Newsreader" w:eastAsia="Newsreader" w:hAnsi="Newsreader" w:cs="Newsreader"/>
                <w:b/>
              </w:rPr>
              <w:t>(2) Convener:</w:t>
            </w:r>
          </w:p>
        </w:tc>
        <w:tc>
          <w:tcPr>
            <w:tcW w:w="6940" w:type="dxa"/>
            <w:tcMar>
              <w:top w:w="100" w:type="dxa"/>
              <w:left w:w="100" w:type="dxa"/>
              <w:bottom w:w="100" w:type="dxa"/>
              <w:right w:w="100" w:type="dxa"/>
            </w:tcMar>
          </w:tcPr>
          <w:p w14:paraId="717F0742" w14:textId="77777777" w:rsidR="00AA3D84" w:rsidRDefault="004B7EC8">
            <w:pPr>
              <w:widowControl w:val="0"/>
              <w:pBdr>
                <w:top w:val="nil"/>
                <w:left w:val="nil"/>
                <w:bottom w:val="nil"/>
                <w:right w:val="nil"/>
                <w:between w:val="nil"/>
              </w:pBdr>
              <w:spacing w:after="200" w:line="240" w:lineRule="auto"/>
              <w:rPr>
                <w:rFonts w:ascii="Newsreader" w:eastAsia="Newsreader" w:hAnsi="Newsreader" w:cs="Newsreader"/>
              </w:rPr>
            </w:pPr>
            <w:r>
              <w:rPr>
                <w:rFonts w:ascii="Newsreader" w:eastAsia="Newsreader" w:hAnsi="Newsreader" w:cs="Newsreader"/>
                <w:b/>
              </w:rPr>
              <w:t>Kumiko Kato</w:t>
            </w:r>
            <w:r>
              <w:rPr>
                <w:rFonts w:ascii="Newsreader" w:eastAsia="Newsreader" w:hAnsi="Newsreader" w:cs="Newsreader"/>
                <w:b/>
              </w:rPr>
              <w:br/>
            </w:r>
            <w:r>
              <w:rPr>
                <w:rFonts w:ascii="Newsreader" w:eastAsia="Newsreader" w:hAnsi="Newsreader" w:cs="Newsreader"/>
              </w:rPr>
              <w:t>Visiting Researcher in the Institute of Asian, African, and Middle Eastern Studies (IAAMES), Sophia University –Japan</w:t>
            </w:r>
          </w:p>
          <w:p w14:paraId="3146679D" w14:textId="77777777" w:rsidR="00AA3D84" w:rsidRDefault="004B7EC8">
            <w:pPr>
              <w:widowControl w:val="0"/>
              <w:pBdr>
                <w:top w:val="nil"/>
                <w:left w:val="nil"/>
                <w:bottom w:val="nil"/>
                <w:right w:val="nil"/>
                <w:between w:val="nil"/>
              </w:pBdr>
              <w:spacing w:after="200" w:line="240" w:lineRule="auto"/>
              <w:rPr>
                <w:rFonts w:ascii="Newsreader" w:eastAsia="Newsreader" w:hAnsi="Newsreader" w:cs="Newsreader"/>
              </w:rPr>
            </w:pPr>
            <w:r>
              <w:rPr>
                <w:rFonts w:ascii="Newsreader" w:eastAsia="Newsreader" w:hAnsi="Newsreader" w:cs="Newsreader"/>
              </w:rPr>
              <w:t>kato-k@eagle.sophia.ac.jp</w:t>
            </w:r>
          </w:p>
        </w:tc>
      </w:tr>
      <w:tr w:rsidR="00AA3D84" w14:paraId="6779FD21" w14:textId="77777777">
        <w:trPr>
          <w:trHeight w:val="1275"/>
        </w:trPr>
        <w:tc>
          <w:tcPr>
            <w:tcW w:w="2059" w:type="dxa"/>
            <w:tcMar>
              <w:top w:w="100" w:type="dxa"/>
              <w:left w:w="100" w:type="dxa"/>
              <w:bottom w:w="100" w:type="dxa"/>
              <w:right w:w="100" w:type="dxa"/>
            </w:tcMar>
          </w:tcPr>
          <w:p w14:paraId="5DC6C6C6" w14:textId="77777777" w:rsidR="00AA3D84" w:rsidRDefault="004B7EC8">
            <w:pPr>
              <w:spacing w:after="200"/>
              <w:rPr>
                <w:rFonts w:ascii="Newsreader" w:eastAsia="Newsreader" w:hAnsi="Newsreader" w:cs="Newsreader"/>
                <w:b/>
              </w:rPr>
            </w:pPr>
            <w:r>
              <w:rPr>
                <w:rFonts w:ascii="Newsreader" w:eastAsia="Newsreader" w:hAnsi="Newsreader" w:cs="Newsreader"/>
                <w:b/>
              </w:rPr>
              <w:t>(3) Description of Format:</w:t>
            </w:r>
          </w:p>
        </w:tc>
        <w:tc>
          <w:tcPr>
            <w:tcW w:w="6940" w:type="dxa"/>
            <w:tcMar>
              <w:top w:w="100" w:type="dxa"/>
              <w:left w:w="100" w:type="dxa"/>
              <w:bottom w:w="100" w:type="dxa"/>
              <w:right w:w="100" w:type="dxa"/>
            </w:tcMar>
          </w:tcPr>
          <w:p w14:paraId="2DC486F4" w14:textId="77777777" w:rsidR="00AA3D84" w:rsidRDefault="004B7EC8">
            <w:pPr>
              <w:widowControl w:val="0"/>
              <w:pBdr>
                <w:top w:val="nil"/>
                <w:left w:val="nil"/>
                <w:bottom w:val="nil"/>
                <w:right w:val="nil"/>
                <w:between w:val="nil"/>
              </w:pBdr>
              <w:spacing w:after="200" w:line="240" w:lineRule="auto"/>
              <w:jc w:val="both"/>
              <w:rPr>
                <w:rFonts w:ascii="Newsreader" w:eastAsia="Newsreader" w:hAnsi="Newsreader" w:cs="Newsreader"/>
              </w:rPr>
            </w:pPr>
            <w:r>
              <w:rPr>
                <w:rFonts w:ascii="Newsreader" w:eastAsia="Newsreader" w:hAnsi="Newsreader" w:cs="Newsreader"/>
              </w:rPr>
              <w:t>The panel will be organized in the classical “panel” format, with five participants conducting research on tourism in various countries in Southeast Asia. A single panel has 90 minutes, divided into one session, meaning we have 15 minutes for each presentation, plus a 1-minute switch time</w:t>
            </w:r>
            <w:r>
              <w:rPr>
                <w:rFonts w:ascii="Newsreader" w:eastAsia="Newsreader" w:hAnsi="Newsreader" w:cs="Newsreader"/>
                <w:color w:val="B80672"/>
              </w:rPr>
              <w:t>,</w:t>
            </w:r>
            <w:r>
              <w:rPr>
                <w:rFonts w:ascii="Newsreader" w:eastAsia="Newsreader" w:hAnsi="Newsreader" w:cs="Newsreader"/>
              </w:rPr>
              <w:t xml:space="preserve"> totaling 16 minutes. The remaining 10 minutes will be reserved for audience questions. The convener will facilitate the consecutive sharing of presentations. Due to the number of proposed panelists, the presentation duration will be closely monitored, and no discussant will be required.</w:t>
            </w:r>
          </w:p>
        </w:tc>
      </w:tr>
      <w:tr w:rsidR="00AA3D84" w14:paraId="493A49BB" w14:textId="77777777">
        <w:trPr>
          <w:trHeight w:val="420"/>
        </w:trPr>
        <w:tc>
          <w:tcPr>
            <w:tcW w:w="8999" w:type="dxa"/>
            <w:gridSpan w:val="2"/>
            <w:tcMar>
              <w:top w:w="100" w:type="dxa"/>
              <w:left w:w="100" w:type="dxa"/>
              <w:bottom w:w="100" w:type="dxa"/>
              <w:right w:w="100" w:type="dxa"/>
            </w:tcMar>
          </w:tcPr>
          <w:p w14:paraId="4DF0C78F" w14:textId="77777777" w:rsidR="00AA3D84" w:rsidRDefault="004B7EC8">
            <w:pPr>
              <w:widowControl w:val="0"/>
              <w:spacing w:after="200" w:line="240" w:lineRule="auto"/>
              <w:rPr>
                <w:rFonts w:ascii="Newsreader" w:eastAsia="Newsreader" w:hAnsi="Newsreader" w:cs="Newsreader"/>
                <w:b/>
              </w:rPr>
            </w:pPr>
            <w:r>
              <w:rPr>
                <w:rFonts w:ascii="Newsreader" w:eastAsia="Newsreader" w:hAnsi="Newsreader" w:cs="Newsreader"/>
                <w:b/>
              </w:rPr>
              <w:t>(4) Description of the Panel:</w:t>
            </w:r>
          </w:p>
          <w:p w14:paraId="29249A5C" w14:textId="77777777" w:rsidR="00AA3D84" w:rsidRDefault="004B7EC8">
            <w:pPr>
              <w:widowControl w:val="0"/>
              <w:spacing w:after="200" w:line="240" w:lineRule="auto"/>
              <w:jc w:val="both"/>
              <w:rPr>
                <w:rFonts w:ascii="Newsreader" w:eastAsia="Newsreader" w:hAnsi="Newsreader" w:cs="Newsreader"/>
              </w:rPr>
            </w:pPr>
            <w:r>
              <w:rPr>
                <w:rFonts w:ascii="Newsreader" w:eastAsia="Newsreader" w:hAnsi="Newsreader" w:cs="Newsreader"/>
              </w:rPr>
              <w:t>Representations of tourism in Southeast Asia have shifted from colonialism to nationalism, and in recent decades, have increasingly been turned over to local communities. As a result of these changes, local populations and minorities are becoming active participants in the tourism industry of their own countries. This shift is affecting their self-identities and their economic situation, especially because they are experiencing increased contact and interaction with domestic and international visitors.</w:t>
            </w:r>
          </w:p>
          <w:p w14:paraId="7C4273FD" w14:textId="77777777" w:rsidR="00AA3D84" w:rsidRDefault="004B7EC8">
            <w:pPr>
              <w:widowControl w:val="0"/>
              <w:spacing w:after="200" w:line="240" w:lineRule="auto"/>
              <w:jc w:val="both"/>
              <w:rPr>
                <w:rFonts w:ascii="Newsreader" w:eastAsia="Newsreader" w:hAnsi="Newsreader" w:cs="Newsreader"/>
              </w:rPr>
            </w:pPr>
            <w:r>
              <w:rPr>
                <w:rFonts w:ascii="Newsreader" w:eastAsia="Newsreader" w:hAnsi="Newsreader" w:cs="Newsreader"/>
              </w:rPr>
              <w:t xml:space="preserve">Following the Oriental exploration that was predominant in the 20th century, nature, eco-tourism, and sustainability have emerged as major trends in international tourism. While regional and national identities play a significant role in the development of domestic tourism, it is also essential to acknowledge that the relationship goes both ways: the tourism industry has a considerable impact on the natural environment and on local communities. Furthermore, the representations of non-indigenous minorities, such as the queer communities of certain destinations, are also implicated in tourism’s ebbs and flows. Therefore, a state of transition and evolution becomes visibly evident in the tourism experience among communities throughout the region. </w:t>
            </w:r>
          </w:p>
          <w:p w14:paraId="1C68B66F" w14:textId="77777777" w:rsidR="00AA3D84" w:rsidRDefault="004B7EC8">
            <w:pPr>
              <w:widowControl w:val="0"/>
              <w:spacing w:after="200" w:line="240" w:lineRule="auto"/>
              <w:jc w:val="both"/>
              <w:rPr>
                <w:rFonts w:ascii="Newsreader" w:eastAsia="Newsreader" w:hAnsi="Newsreader" w:cs="Newsreader"/>
              </w:rPr>
            </w:pPr>
            <w:r>
              <w:rPr>
                <w:rFonts w:ascii="Newsreader" w:eastAsia="Newsreader" w:hAnsi="Newsreader" w:cs="Newsreader"/>
              </w:rPr>
              <w:t xml:space="preserve">Through papers on ethnic representation, cultural symbolism, and indigenous lifeworlds, and minority participation, this panel will discuss a series of contemporary cases of tourism in Southeast Asia—Vietnam, Thailand, the Philippines, and Indonesia—to reveal how the identity paradigm shift occurs in each nation and how minority communities in the region respond to it. </w:t>
            </w:r>
          </w:p>
          <w:p w14:paraId="782B8E2C" w14:textId="77777777" w:rsidR="00AA3D84" w:rsidRDefault="004B7EC8">
            <w:pPr>
              <w:widowControl w:val="0"/>
              <w:spacing w:before="240" w:after="240" w:line="240" w:lineRule="auto"/>
              <w:rPr>
                <w:rFonts w:ascii="Newsreader" w:eastAsia="Newsreader" w:hAnsi="Newsreader" w:cs="Newsreader"/>
                <w:b/>
                <w:highlight w:val="white"/>
              </w:rPr>
            </w:pPr>
            <w:r>
              <w:rPr>
                <w:rFonts w:ascii="Newsreader" w:eastAsia="Newsreader" w:hAnsi="Newsreader" w:cs="Newsreader"/>
                <w:b/>
              </w:rPr>
              <w:t xml:space="preserve">(5) Single session </w:t>
            </w:r>
            <w:r>
              <w:rPr>
                <w:rFonts w:ascii="Newsreader" w:eastAsia="Newsreader" w:hAnsi="Newsreader" w:cs="Newsreader"/>
                <w:b/>
                <w:highlight w:val="white"/>
              </w:rPr>
              <w:t>(1 x 90 minutes, 3-4(5)  presenters)</w:t>
            </w:r>
          </w:p>
          <w:p w14:paraId="3869ADB8" w14:textId="6EBCB687" w:rsidR="00AA3D84" w:rsidRPr="005E7CE0" w:rsidRDefault="004B7EC8" w:rsidP="005E7CE0">
            <w:pPr>
              <w:widowControl w:val="0"/>
              <w:spacing w:before="240" w:after="240" w:line="240" w:lineRule="auto"/>
              <w:rPr>
                <w:rFonts w:ascii="Newsreader" w:hAnsi="Newsreader" w:cs="Newsreader" w:hint="eastAsia"/>
                <w:b/>
                <w:highlight w:val="white"/>
              </w:rPr>
            </w:pPr>
            <w:r>
              <w:rPr>
                <w:rFonts w:ascii="Newsreader" w:eastAsia="Newsreader" w:hAnsi="Newsreader" w:cs="Newsreader"/>
                <w:b/>
                <w:highlight w:val="white"/>
              </w:rPr>
              <w:t>(6) There is no need for a discussant in this panel</w:t>
            </w:r>
          </w:p>
        </w:tc>
      </w:tr>
      <w:tr w:rsidR="00AA3D84" w14:paraId="79106258" w14:textId="77777777">
        <w:tc>
          <w:tcPr>
            <w:tcW w:w="2059" w:type="dxa"/>
            <w:tcMar>
              <w:top w:w="100" w:type="dxa"/>
              <w:left w:w="100" w:type="dxa"/>
              <w:bottom w:w="100" w:type="dxa"/>
              <w:right w:w="100" w:type="dxa"/>
            </w:tcMar>
          </w:tcPr>
          <w:p w14:paraId="5C2B5543" w14:textId="77777777" w:rsidR="00AA3D84" w:rsidRDefault="004B7EC8">
            <w:pPr>
              <w:widowControl w:val="0"/>
              <w:pBdr>
                <w:top w:val="nil"/>
                <w:left w:val="nil"/>
                <w:bottom w:val="nil"/>
                <w:right w:val="nil"/>
                <w:between w:val="nil"/>
              </w:pBdr>
              <w:spacing w:after="200" w:line="240" w:lineRule="auto"/>
              <w:rPr>
                <w:rFonts w:ascii="Newsreader" w:eastAsia="Newsreader" w:hAnsi="Newsreader" w:cs="Newsreader"/>
                <w:b/>
              </w:rPr>
            </w:pPr>
            <w:r>
              <w:rPr>
                <w:rFonts w:ascii="Newsreader" w:eastAsia="Newsreader" w:hAnsi="Newsreader" w:cs="Newsreader"/>
                <w:b/>
              </w:rPr>
              <w:lastRenderedPageBreak/>
              <w:t>Panelists:</w:t>
            </w:r>
          </w:p>
        </w:tc>
        <w:tc>
          <w:tcPr>
            <w:tcW w:w="6940" w:type="dxa"/>
            <w:tcMar>
              <w:top w:w="100" w:type="dxa"/>
              <w:left w:w="100" w:type="dxa"/>
              <w:bottom w:w="100" w:type="dxa"/>
              <w:right w:w="100" w:type="dxa"/>
            </w:tcMar>
          </w:tcPr>
          <w:p w14:paraId="0572CC60" w14:textId="77777777" w:rsidR="00AA3D84" w:rsidRDefault="004B7EC8">
            <w:pPr>
              <w:widowControl w:val="0"/>
              <w:spacing w:line="240" w:lineRule="auto"/>
              <w:rPr>
                <w:rFonts w:ascii="Newsreader" w:eastAsia="Newsreader" w:hAnsi="Newsreader" w:cs="Newsreader"/>
                <w:b/>
              </w:rPr>
            </w:pPr>
            <w:r>
              <w:rPr>
                <w:rFonts w:ascii="Newsreader" w:eastAsia="Newsreader" w:hAnsi="Newsreader" w:cs="Newsreader"/>
                <w:b/>
              </w:rPr>
              <w:t>Kumiko Kato</w:t>
            </w:r>
          </w:p>
          <w:p w14:paraId="20173AF8" w14:textId="77777777" w:rsidR="00AA3D84" w:rsidRDefault="004B7EC8">
            <w:pPr>
              <w:widowControl w:val="0"/>
              <w:spacing w:after="200" w:line="240" w:lineRule="auto"/>
              <w:rPr>
                <w:rFonts w:ascii="Newsreader" w:eastAsia="Newsreader" w:hAnsi="Newsreader" w:cs="Newsreader"/>
              </w:rPr>
            </w:pPr>
            <w:r>
              <w:rPr>
                <w:rFonts w:ascii="Newsreader" w:eastAsia="Newsreader" w:hAnsi="Newsreader" w:cs="Newsreader"/>
              </w:rPr>
              <w:t>Visiting Researcher (Ph.D) in the Institute of Asian, African, and Middle Eastern Studies（IAAMES), Sophia University – Japan</w:t>
            </w:r>
          </w:p>
          <w:p w14:paraId="363E097F" w14:textId="77777777" w:rsidR="00AA3D84" w:rsidRDefault="004B7EC8">
            <w:pPr>
              <w:widowControl w:val="0"/>
              <w:spacing w:line="240" w:lineRule="auto"/>
              <w:rPr>
                <w:rFonts w:ascii="Newsreader" w:eastAsia="Newsreader" w:hAnsi="Newsreader" w:cs="Newsreader"/>
                <w:i/>
              </w:rPr>
            </w:pPr>
            <w:r>
              <w:rPr>
                <w:rFonts w:ascii="Newsreader" w:eastAsia="Newsreader" w:hAnsi="Newsreader" w:cs="Newsreader"/>
                <w:i/>
              </w:rPr>
              <w:t>Dancing Like Ancestors: Explore Bajo’s Ethnic Identity and Ritual Beliefs within Tourism Project in Indonesia.</w:t>
            </w:r>
          </w:p>
          <w:p w14:paraId="04FF18F8" w14:textId="77777777" w:rsidR="00AA3D84" w:rsidRDefault="00AA3D84">
            <w:pPr>
              <w:widowControl w:val="0"/>
              <w:spacing w:line="240" w:lineRule="auto"/>
              <w:rPr>
                <w:rFonts w:ascii="Newsreader" w:eastAsia="Newsreader" w:hAnsi="Newsreader" w:cs="Newsreader"/>
                <w:b/>
              </w:rPr>
            </w:pPr>
          </w:p>
          <w:p w14:paraId="496D8EAD" w14:textId="77777777" w:rsidR="00AA3D84" w:rsidRDefault="004B7EC8">
            <w:pPr>
              <w:widowControl w:val="0"/>
              <w:spacing w:line="240" w:lineRule="auto"/>
              <w:rPr>
                <w:rFonts w:ascii="Newsreader" w:eastAsia="Newsreader" w:hAnsi="Newsreader" w:cs="Newsreader"/>
                <w:b/>
              </w:rPr>
            </w:pPr>
            <w:r>
              <w:rPr>
                <w:rFonts w:ascii="Newsreader" w:eastAsia="Newsreader" w:hAnsi="Newsreader" w:cs="Newsreader"/>
                <w:b/>
              </w:rPr>
              <w:t>Giada Donzel</w:t>
            </w:r>
          </w:p>
          <w:p w14:paraId="0B075F9D" w14:textId="77777777" w:rsidR="00AA3D84" w:rsidRDefault="004B7EC8">
            <w:pPr>
              <w:widowControl w:val="0"/>
              <w:spacing w:after="200" w:line="240" w:lineRule="auto"/>
              <w:rPr>
                <w:rFonts w:ascii="Newsreader" w:eastAsia="Newsreader" w:hAnsi="Newsreader" w:cs="Newsreader"/>
              </w:rPr>
            </w:pPr>
            <w:r>
              <w:rPr>
                <w:rFonts w:ascii="Newsreader" w:eastAsia="Newsreader" w:hAnsi="Newsreader" w:cs="Newsreader"/>
              </w:rPr>
              <w:t>PhD Student in History, Cultural Heritage and International Studies, Università di Cagliari - Italy</w:t>
            </w:r>
          </w:p>
          <w:p w14:paraId="34EBB891" w14:textId="77777777" w:rsidR="00AA3D84" w:rsidRDefault="004B7EC8">
            <w:pPr>
              <w:widowControl w:val="0"/>
              <w:spacing w:after="200" w:line="240" w:lineRule="auto"/>
              <w:rPr>
                <w:rFonts w:ascii="Newsreader" w:eastAsia="Newsreader" w:hAnsi="Newsreader" w:cs="Newsreader"/>
                <w:i/>
              </w:rPr>
            </w:pPr>
            <w:r>
              <w:rPr>
                <w:rFonts w:ascii="Newsreader" w:eastAsia="Newsreader" w:hAnsi="Newsreader" w:cs="Newsreader"/>
                <w:i/>
              </w:rPr>
              <w:t xml:space="preserve">The evolution of Vietnam’s tourism policy: the cases of Sapa and Ta Xua </w:t>
            </w:r>
          </w:p>
          <w:p w14:paraId="521464CC" w14:textId="77777777" w:rsidR="00AA3D84" w:rsidRDefault="004B7EC8">
            <w:pPr>
              <w:widowControl w:val="0"/>
              <w:pBdr>
                <w:top w:val="nil"/>
                <w:left w:val="nil"/>
                <w:bottom w:val="nil"/>
                <w:right w:val="nil"/>
                <w:between w:val="nil"/>
              </w:pBdr>
              <w:spacing w:line="240" w:lineRule="auto"/>
              <w:rPr>
                <w:rFonts w:ascii="Newsreader" w:eastAsia="Newsreader" w:hAnsi="Newsreader" w:cs="Newsreader"/>
                <w:b/>
              </w:rPr>
            </w:pPr>
            <w:r>
              <w:rPr>
                <w:rFonts w:ascii="Newsreader" w:eastAsia="Newsreader" w:hAnsi="Newsreader" w:cs="Newsreader"/>
                <w:b/>
              </w:rPr>
              <w:t>Eli Alconis</w:t>
            </w:r>
          </w:p>
          <w:p w14:paraId="736BC2F1" w14:textId="77777777" w:rsidR="00AA3D84" w:rsidRDefault="004B7EC8">
            <w:pPr>
              <w:widowControl w:val="0"/>
              <w:pBdr>
                <w:top w:val="nil"/>
                <w:left w:val="nil"/>
                <w:bottom w:val="nil"/>
                <w:right w:val="nil"/>
                <w:between w:val="nil"/>
              </w:pBdr>
              <w:spacing w:line="240" w:lineRule="auto"/>
              <w:rPr>
                <w:rFonts w:ascii="Newsreader" w:eastAsia="Newsreader" w:hAnsi="Newsreader" w:cs="Newsreader"/>
              </w:rPr>
            </w:pPr>
            <w:r>
              <w:rPr>
                <w:rFonts w:ascii="Newsreader" w:eastAsia="Newsreader" w:hAnsi="Newsreader" w:cs="Newsreader"/>
              </w:rPr>
              <w:t>Researcher, Institute of Philippine Culture, Ateneo de Manila University</w:t>
            </w:r>
          </w:p>
          <w:p w14:paraId="082299C8" w14:textId="77777777" w:rsidR="00AA3D84" w:rsidRDefault="004B7EC8">
            <w:pPr>
              <w:widowControl w:val="0"/>
              <w:pBdr>
                <w:top w:val="nil"/>
                <w:left w:val="nil"/>
                <w:bottom w:val="nil"/>
                <w:right w:val="nil"/>
                <w:between w:val="nil"/>
              </w:pBdr>
              <w:spacing w:after="200" w:line="240" w:lineRule="auto"/>
              <w:rPr>
                <w:rFonts w:ascii="Newsreader" w:eastAsia="Newsreader" w:hAnsi="Newsreader" w:cs="Newsreader"/>
              </w:rPr>
            </w:pPr>
            <w:r>
              <w:rPr>
                <w:rFonts w:ascii="Newsreader" w:eastAsia="Newsreader" w:hAnsi="Newsreader" w:cs="Newsreader"/>
              </w:rPr>
              <w:t>Graduate Student, Department of Anthropology, University of the Philippines - Philippines</w:t>
            </w:r>
          </w:p>
          <w:p w14:paraId="32723572" w14:textId="77777777" w:rsidR="00AA3D84" w:rsidRDefault="004B7EC8">
            <w:pPr>
              <w:widowControl w:val="0"/>
              <w:pBdr>
                <w:top w:val="nil"/>
                <w:left w:val="nil"/>
                <w:bottom w:val="nil"/>
                <w:right w:val="nil"/>
                <w:between w:val="nil"/>
              </w:pBdr>
              <w:spacing w:after="200" w:line="240" w:lineRule="auto"/>
              <w:rPr>
                <w:rFonts w:ascii="Newsreader" w:eastAsia="Newsreader" w:hAnsi="Newsreader" w:cs="Newsreader"/>
                <w:i/>
              </w:rPr>
            </w:pPr>
            <w:r>
              <w:rPr>
                <w:rFonts w:ascii="Newsreader" w:eastAsia="Newsreader" w:hAnsi="Newsreader" w:cs="Newsreader"/>
                <w:i/>
              </w:rPr>
              <w:t>More than the Human in an Indigenous Tourist Destination: Exploring Correspondence and Diverse Agencies in Maligcong, Philippines</w:t>
            </w:r>
          </w:p>
          <w:p w14:paraId="62791B32" w14:textId="77777777" w:rsidR="00AA3D84" w:rsidRDefault="004B7EC8">
            <w:pPr>
              <w:widowControl w:val="0"/>
              <w:pBdr>
                <w:top w:val="nil"/>
                <w:left w:val="nil"/>
                <w:bottom w:val="nil"/>
                <w:right w:val="nil"/>
                <w:between w:val="nil"/>
              </w:pBdr>
              <w:spacing w:line="240" w:lineRule="auto"/>
              <w:rPr>
                <w:rFonts w:ascii="Newsreader" w:eastAsia="Newsreader" w:hAnsi="Newsreader" w:cs="Newsreader"/>
                <w:b/>
              </w:rPr>
            </w:pPr>
            <w:r>
              <w:rPr>
                <w:rFonts w:ascii="Newsreader" w:eastAsia="Newsreader" w:hAnsi="Newsreader" w:cs="Newsreader"/>
                <w:b/>
              </w:rPr>
              <w:t>Lê Đức Anh</w:t>
            </w:r>
          </w:p>
          <w:p w14:paraId="5B1543A0" w14:textId="77777777" w:rsidR="00AA3D84" w:rsidRDefault="004B7EC8">
            <w:pPr>
              <w:widowControl w:val="0"/>
              <w:pBdr>
                <w:top w:val="nil"/>
                <w:left w:val="nil"/>
                <w:bottom w:val="nil"/>
                <w:right w:val="nil"/>
                <w:between w:val="nil"/>
              </w:pBdr>
              <w:spacing w:after="200" w:line="240" w:lineRule="auto"/>
              <w:rPr>
                <w:rFonts w:ascii="Newsreader" w:eastAsia="Newsreader" w:hAnsi="Newsreader" w:cs="Newsreader"/>
              </w:rPr>
            </w:pPr>
            <w:r>
              <w:rPr>
                <w:rFonts w:ascii="Newsreader" w:eastAsia="Newsreader" w:hAnsi="Newsreader" w:cs="Newsreader"/>
              </w:rPr>
              <w:t>Researcher, Institute of Vietnamese Studies and Development Science, Vietnam National University - Vietnam</w:t>
            </w:r>
          </w:p>
          <w:p w14:paraId="59D031A2" w14:textId="77777777" w:rsidR="00AA3D84" w:rsidRDefault="004B7EC8">
            <w:pPr>
              <w:widowControl w:val="0"/>
              <w:pBdr>
                <w:top w:val="nil"/>
                <w:left w:val="nil"/>
                <w:bottom w:val="nil"/>
                <w:right w:val="nil"/>
                <w:between w:val="nil"/>
              </w:pBdr>
              <w:spacing w:after="200" w:line="240" w:lineRule="auto"/>
              <w:rPr>
                <w:rFonts w:ascii="Newsreader" w:eastAsia="Newsreader" w:hAnsi="Newsreader" w:cs="Newsreader"/>
                <w:i/>
              </w:rPr>
            </w:pPr>
            <w:r>
              <w:rPr>
                <w:rFonts w:ascii="Newsreader" w:eastAsia="Newsreader" w:hAnsi="Newsreader" w:cs="Newsreader"/>
                <w:i/>
              </w:rPr>
              <w:t xml:space="preserve">Narrating the Vietnamese Highlands: Hmong novel “Vợ chồng A Phủ” and the Making of Tà Xùa’s Tourism Image </w:t>
            </w:r>
          </w:p>
          <w:p w14:paraId="230CEBE5" w14:textId="77777777" w:rsidR="00AA3D84" w:rsidRDefault="004B7EC8">
            <w:pPr>
              <w:widowControl w:val="0"/>
              <w:pBdr>
                <w:top w:val="nil"/>
                <w:left w:val="nil"/>
                <w:bottom w:val="nil"/>
                <w:right w:val="nil"/>
                <w:between w:val="nil"/>
              </w:pBdr>
              <w:spacing w:line="240" w:lineRule="auto"/>
              <w:rPr>
                <w:rFonts w:ascii="Newsreader" w:eastAsia="Newsreader" w:hAnsi="Newsreader" w:cs="Newsreader"/>
                <w:b/>
              </w:rPr>
            </w:pPr>
            <w:r>
              <w:rPr>
                <w:rFonts w:ascii="Newsreader" w:eastAsia="Newsreader" w:hAnsi="Newsreader" w:cs="Newsreader"/>
                <w:b/>
              </w:rPr>
              <w:t>Jidapa Buayairugsa</w:t>
            </w:r>
          </w:p>
          <w:p w14:paraId="41C27414" w14:textId="77777777" w:rsidR="00AA3D84" w:rsidRDefault="004B7EC8">
            <w:pPr>
              <w:widowControl w:val="0"/>
              <w:pBdr>
                <w:top w:val="nil"/>
                <w:left w:val="nil"/>
                <w:bottom w:val="nil"/>
                <w:right w:val="nil"/>
                <w:between w:val="nil"/>
              </w:pBdr>
              <w:spacing w:line="240" w:lineRule="auto"/>
              <w:rPr>
                <w:rFonts w:ascii="Newsreader" w:eastAsia="Newsreader" w:hAnsi="Newsreader" w:cs="Newsreader"/>
              </w:rPr>
            </w:pPr>
            <w:r>
              <w:rPr>
                <w:rFonts w:ascii="Newsreader" w:eastAsia="Newsreader" w:hAnsi="Newsreader" w:cs="Newsreader"/>
              </w:rPr>
              <w:t>PhD Candidate, International Doctoral Program in Asia-Pacific Studies</w:t>
            </w:r>
          </w:p>
          <w:p w14:paraId="5BEBEC78" w14:textId="77777777" w:rsidR="00AA3D84" w:rsidRDefault="004B7EC8">
            <w:pPr>
              <w:widowControl w:val="0"/>
              <w:pBdr>
                <w:top w:val="nil"/>
                <w:left w:val="nil"/>
                <w:bottom w:val="nil"/>
                <w:right w:val="nil"/>
                <w:between w:val="nil"/>
              </w:pBdr>
              <w:spacing w:after="200" w:line="240" w:lineRule="auto"/>
              <w:rPr>
                <w:rFonts w:ascii="Newsreader" w:eastAsia="Newsreader" w:hAnsi="Newsreader" w:cs="Newsreader"/>
              </w:rPr>
            </w:pPr>
            <w:r>
              <w:rPr>
                <w:rFonts w:ascii="Newsreader" w:eastAsia="Newsreader" w:hAnsi="Newsreader" w:cs="Newsreader"/>
              </w:rPr>
              <w:t>National Chengchi University - Taiwan</w:t>
            </w:r>
          </w:p>
          <w:p w14:paraId="04DBA332" w14:textId="77777777" w:rsidR="00AA3D84" w:rsidRDefault="004B7EC8">
            <w:pPr>
              <w:widowControl w:val="0"/>
              <w:pBdr>
                <w:top w:val="nil"/>
                <w:left w:val="nil"/>
                <w:bottom w:val="nil"/>
                <w:right w:val="nil"/>
                <w:between w:val="nil"/>
              </w:pBdr>
              <w:spacing w:after="200" w:line="240" w:lineRule="auto"/>
              <w:rPr>
                <w:rFonts w:ascii="Newsreader" w:eastAsia="Newsreader" w:hAnsi="Newsreader" w:cs="Newsreader"/>
                <w:i/>
              </w:rPr>
            </w:pPr>
            <w:r>
              <w:rPr>
                <w:rFonts w:ascii="Newsreader" w:eastAsia="Newsreader" w:hAnsi="Newsreader" w:cs="Newsreader"/>
                <w:i/>
              </w:rPr>
              <w:t>Transnational Learning through Queer Mobility: Thai LGBTQ Travelers’ Perspectives on Taiwan and the Future of Inclusive Tourism in Thailand</w:t>
            </w:r>
          </w:p>
        </w:tc>
      </w:tr>
      <w:tr w:rsidR="00AA3D84" w14:paraId="5A9BB366" w14:textId="77777777">
        <w:trPr>
          <w:trHeight w:val="420"/>
        </w:trPr>
        <w:tc>
          <w:tcPr>
            <w:tcW w:w="8999" w:type="dxa"/>
            <w:gridSpan w:val="2"/>
            <w:tcMar>
              <w:top w:w="100" w:type="dxa"/>
              <w:left w:w="100" w:type="dxa"/>
              <w:bottom w:w="100" w:type="dxa"/>
              <w:right w:w="100" w:type="dxa"/>
            </w:tcMar>
          </w:tcPr>
          <w:p w14:paraId="18390AFA" w14:textId="77777777" w:rsidR="00AA3D84" w:rsidRDefault="004B7EC8">
            <w:pPr>
              <w:widowControl w:val="0"/>
              <w:pBdr>
                <w:top w:val="nil"/>
                <w:left w:val="nil"/>
                <w:bottom w:val="nil"/>
                <w:right w:val="nil"/>
                <w:between w:val="nil"/>
              </w:pBdr>
              <w:spacing w:after="200" w:line="240" w:lineRule="auto"/>
              <w:rPr>
                <w:rFonts w:ascii="Newsreader" w:eastAsia="Newsreader" w:hAnsi="Newsreader" w:cs="Newsreader"/>
                <w:b/>
              </w:rPr>
            </w:pPr>
            <w:r>
              <w:rPr>
                <w:rFonts w:ascii="Newsreader" w:eastAsia="Newsreader" w:hAnsi="Newsreader" w:cs="Newsreader"/>
                <w:b/>
              </w:rPr>
              <w:t>Proposed Abstracts:</w:t>
            </w:r>
          </w:p>
          <w:p w14:paraId="5F66D583" w14:textId="77777777" w:rsidR="00AA3D84" w:rsidRDefault="004B7EC8">
            <w:pPr>
              <w:widowControl w:val="0"/>
              <w:spacing w:after="200" w:line="240" w:lineRule="auto"/>
              <w:rPr>
                <w:rFonts w:ascii="Newsreader" w:eastAsia="Newsreader" w:hAnsi="Newsreader" w:cs="Newsreader"/>
                <w:b/>
              </w:rPr>
            </w:pPr>
            <w:r>
              <w:rPr>
                <w:rFonts w:ascii="Newsreader" w:eastAsia="Newsreader" w:hAnsi="Newsreader" w:cs="Newsreader"/>
                <w:b/>
              </w:rPr>
              <w:t>Kumiko Kato</w:t>
            </w:r>
          </w:p>
          <w:p w14:paraId="0719E161" w14:textId="77777777" w:rsidR="00AA3D84" w:rsidRDefault="004B7EC8">
            <w:pPr>
              <w:widowControl w:val="0"/>
              <w:spacing w:after="200" w:line="240" w:lineRule="auto"/>
              <w:rPr>
                <w:rFonts w:ascii="Newsreader" w:eastAsia="Newsreader" w:hAnsi="Newsreader" w:cs="Newsreader"/>
                <w:i/>
              </w:rPr>
            </w:pPr>
            <w:r>
              <w:rPr>
                <w:rFonts w:ascii="Newsreader" w:eastAsia="Newsreader" w:hAnsi="Newsreader" w:cs="Newsreader"/>
                <w:i/>
              </w:rPr>
              <w:t>Dancing Like Ancestors: Explore Bajo’s Ethnic Identity and Ritual Beliefs within Tourism Project in Indonesia.</w:t>
            </w:r>
          </w:p>
          <w:p w14:paraId="0B192207" w14:textId="58B33CEC" w:rsidR="00AA3D84" w:rsidRPr="005E7CE0" w:rsidRDefault="004B7EC8" w:rsidP="005E7CE0">
            <w:pPr>
              <w:widowControl w:val="0"/>
              <w:spacing w:after="200" w:line="240" w:lineRule="auto"/>
              <w:jc w:val="both"/>
              <w:rPr>
                <w:rFonts w:ascii="Newsreader" w:hAnsi="Newsreader" w:cs="Newsreader" w:hint="eastAsia"/>
              </w:rPr>
            </w:pPr>
            <w:r>
              <w:rPr>
                <w:rFonts w:ascii="Newsreader" w:eastAsia="Newsreader" w:hAnsi="Newsreader" w:cs="Newsreader"/>
              </w:rPr>
              <w:t>Indonesian tourism has a historical context rooted in Dutch colonialism, and international tourism was pursued, bringing an image of the island's cultural and spiritual paradises to Europe. However, these tourism images were initially limited to Bali and did not expand until the national development of the Suharto era began to change. Their national development project focuses on the local area, but it often offends regional and cultural values. Following the Financial Crisis and political confusion, the Indonesian tourism industry has recovered. With 13 million international visitors (BPS statistic Indonesia, 2025b), compared to a total of 178.85 million domestic visitors in 2024 (BPS statistic Indonesia, 2025a), this is a noteworthy figure. Local tourism is becoming increasingly popular among domestic visitors, and local communities describe themselves as unique from a domestic perspective and promote themselves as a diverse part of the Indonesian nation. This study will focus on the Bajo community in Sulawesi, which is a minority group of maritime migrants. People explore their beliefs (</w:t>
            </w:r>
            <w:r>
              <w:rPr>
                <w:rFonts w:ascii="Newsreader" w:eastAsia="Newsreader" w:hAnsi="Newsreader" w:cs="Newsreader"/>
                <w:i/>
              </w:rPr>
              <w:t>Adat</w:t>
            </w:r>
            <w:r>
              <w:rPr>
                <w:rFonts w:ascii="Newsreader" w:eastAsia="Newsreader" w:hAnsi="Newsreader" w:cs="Newsreader"/>
              </w:rPr>
              <w:t xml:space="preserve">), which are actually in opposition to Islamic beliefs because this healing ritual includes process possession. Still, they performed their dancing on the stage of the Regional Festival, guiding tourists through their village as a unique ethnic group; the Indonesian government and an international organization fund all these projects. In this case, expected to reveal their representation and creation as an ethnic group of Indonesia and to emerge as an ethnic identity as a unique minority of this region within the transition of discourse about local ethnic community and diversity by the Indonesian </w:t>
            </w:r>
            <w:r>
              <w:rPr>
                <w:rFonts w:ascii="Newsreader" w:eastAsia="Newsreader" w:hAnsi="Newsreader" w:cs="Newsreader"/>
              </w:rPr>
              <w:lastRenderedPageBreak/>
              <w:t xml:space="preserve">government. </w:t>
            </w:r>
          </w:p>
          <w:p w14:paraId="5E3B2721" w14:textId="77777777" w:rsidR="00AA3D84" w:rsidRDefault="004B7EC8">
            <w:pPr>
              <w:widowControl w:val="0"/>
              <w:spacing w:after="200" w:line="240" w:lineRule="auto"/>
              <w:rPr>
                <w:rFonts w:ascii="Newsreader" w:eastAsia="Newsreader" w:hAnsi="Newsreader" w:cs="Newsreader"/>
                <w:b/>
              </w:rPr>
            </w:pPr>
            <w:r>
              <w:rPr>
                <w:rFonts w:ascii="Newsreader" w:eastAsia="Newsreader" w:hAnsi="Newsreader" w:cs="Newsreader"/>
                <w:b/>
              </w:rPr>
              <w:t>Giada Donzel</w:t>
            </w:r>
          </w:p>
          <w:p w14:paraId="1E590CDC" w14:textId="77777777" w:rsidR="00AA3D84" w:rsidRDefault="004B7EC8">
            <w:pPr>
              <w:widowControl w:val="0"/>
              <w:spacing w:after="200" w:line="240" w:lineRule="auto"/>
              <w:rPr>
                <w:rFonts w:ascii="Newsreader" w:eastAsia="Newsreader" w:hAnsi="Newsreader" w:cs="Newsreader"/>
                <w:i/>
              </w:rPr>
            </w:pPr>
            <w:r>
              <w:rPr>
                <w:rFonts w:ascii="Newsreader" w:eastAsia="Newsreader" w:hAnsi="Newsreader" w:cs="Newsreader"/>
                <w:i/>
              </w:rPr>
              <w:t>The evolution of Vietnam’s tourism policy: the cases of Sapa and Ta Xua</w:t>
            </w:r>
          </w:p>
          <w:p w14:paraId="594F0EAA" w14:textId="77777777" w:rsidR="00AA3D84" w:rsidRDefault="004B7EC8">
            <w:pPr>
              <w:widowControl w:val="0"/>
              <w:spacing w:after="200" w:line="240" w:lineRule="auto"/>
              <w:jc w:val="both"/>
              <w:rPr>
                <w:rFonts w:ascii="Newsreader" w:eastAsia="Newsreader" w:hAnsi="Newsreader" w:cs="Newsreader"/>
              </w:rPr>
            </w:pPr>
            <w:r>
              <w:rPr>
                <w:rFonts w:ascii="Newsreader" w:eastAsia="Newsreader" w:hAnsi="Newsreader" w:cs="Newsreader"/>
              </w:rPr>
              <w:t>Vietnam's tourism sector is developing very fast: the figures from the Viet Nam National Authority of Tourism (VNAT) show that in the first half of 2025, more than 10.5 million international tourists arrived in the country and that number of domestic tourists reached 77.5 million. These data prove the importance of the tourism industry for the Vietnamese economy. However, tourism has also a considerable impact on the environment and, above all, on society. Over the years, the life of the inhabitants of the northwestern borderlands of Vietnam has changed a lot, and tourism, one of the most effective tools of modernization, has played a key role in this process. Good planning and management skills are necessary to avoid environmental damage and social issues. Since national and local government policies are fundamental for defining and regulating tourism development, observing how the approach to this issue has changed over time allows us to identify the new priorities. In order to clarify the effects of this process, this research will present a comparison between two case studies, two tourism areas located in northwestern Vietnam. The first, Sapa, is a well-established tourist destination, while the second, Ta Xua, is much less known and is still expanding. Observations of professionals in the tourism sector have been collected through semi-structured interviews and analyzed to verify if they actually reflect the trend dictated by the new tourism policies.</w:t>
            </w:r>
          </w:p>
          <w:p w14:paraId="48F2792F" w14:textId="77777777" w:rsidR="00AA3D84" w:rsidRDefault="004B7EC8">
            <w:pPr>
              <w:widowControl w:val="0"/>
              <w:spacing w:after="200" w:line="240" w:lineRule="auto"/>
              <w:rPr>
                <w:rFonts w:ascii="Newsreader" w:eastAsia="Newsreader" w:hAnsi="Newsreader" w:cs="Newsreader"/>
                <w:b/>
              </w:rPr>
            </w:pPr>
            <w:r>
              <w:rPr>
                <w:rFonts w:ascii="Newsreader" w:eastAsia="Newsreader" w:hAnsi="Newsreader" w:cs="Newsreader"/>
                <w:b/>
              </w:rPr>
              <w:t>Eli Alconis</w:t>
            </w:r>
          </w:p>
          <w:p w14:paraId="191FC95B" w14:textId="77777777" w:rsidR="00AA3D84" w:rsidRDefault="004B7EC8">
            <w:pPr>
              <w:widowControl w:val="0"/>
              <w:spacing w:after="200" w:line="240" w:lineRule="auto"/>
              <w:rPr>
                <w:rFonts w:ascii="Newsreader" w:eastAsia="Newsreader" w:hAnsi="Newsreader" w:cs="Newsreader"/>
                <w:i/>
              </w:rPr>
            </w:pPr>
            <w:r>
              <w:rPr>
                <w:rFonts w:ascii="Newsreader" w:eastAsia="Newsreader" w:hAnsi="Newsreader" w:cs="Newsreader"/>
                <w:i/>
              </w:rPr>
              <w:t>More than the Human in an Indigenous Tourist Destination: Exploring Correspondence and Diverse Agencies in Maligcong, Philippines</w:t>
            </w:r>
          </w:p>
          <w:p w14:paraId="737C7442" w14:textId="77777777" w:rsidR="00AA3D84" w:rsidRDefault="004B7EC8">
            <w:pPr>
              <w:widowControl w:val="0"/>
              <w:spacing w:after="200" w:line="240" w:lineRule="auto"/>
              <w:jc w:val="both"/>
              <w:rPr>
                <w:rFonts w:ascii="Newsreader" w:eastAsia="Newsreader" w:hAnsi="Newsreader" w:cs="Newsreader"/>
              </w:rPr>
            </w:pPr>
            <w:r>
              <w:rPr>
                <w:rFonts w:ascii="Newsreader" w:eastAsia="Newsreader" w:hAnsi="Newsreader" w:cs="Newsreader"/>
              </w:rPr>
              <w:t>Much of tourism scholarship in Southeast Asia rightfully centers human activity. However, a question relatively recently posited across the broader social sciences concerns the inclusion of actors beyond human beings—including non-humans, other species, and even enspirited agents—in studies of sociality. This presentation explores ways of understanding tourism and tourist sites beyond predominant lenses privileging human agency, interaction, movement, and imagination. Drawing on fieldwork conducted in Maligcong, Mountain Province, Philippines, I seek to uncover and examine the various agencies with whom residents correspond in running tourist-facing homestays and, more broadly, in the shaping of the nascent tourism industry of the aforementioned indigenous mountain community. In doing so, I situate Maligcong within the wider shift in Southeast Asia in which ethnic minority communities are increasingly active participants in directing their own tourism enterprises.</w:t>
            </w:r>
          </w:p>
          <w:p w14:paraId="0884FDC4" w14:textId="77777777" w:rsidR="00AA3D84" w:rsidRDefault="004B7EC8">
            <w:pPr>
              <w:widowControl w:val="0"/>
              <w:spacing w:after="200" w:line="240" w:lineRule="auto"/>
              <w:jc w:val="both"/>
              <w:rPr>
                <w:rFonts w:ascii="Newsreader" w:eastAsia="Newsreader" w:hAnsi="Newsreader" w:cs="Newsreader"/>
                <w:i/>
              </w:rPr>
            </w:pPr>
            <w:r>
              <w:rPr>
                <w:rFonts w:ascii="Newsreader" w:eastAsia="Newsreader" w:hAnsi="Newsreader" w:cs="Newsreader"/>
              </w:rPr>
              <w:t>What becomes apparent from the corpus of data is the marked attentiveness to and the consequential roles of multiple more-than-human agents in the worlds of the Maligcong residents and tourism workers. These include the mountains, the rice terraces and their attendant ecologies, the government-built road that brings outsiders in, ancestor spirits influencing daily rhythms and local relations, and even the community’s dogs, which doubly serve as visitor guides and help regulate space. Engaging Latour, Ingold, and Sahlins’ theories, I integrate perspectives on indigenous worlds into a holistic account of tourism in Maligcong. This approach contributes to ongoing discussions on tourism and sociality beyond the human, recognizing the powerful agency of non-humans in diverse contexts.</w:t>
            </w:r>
          </w:p>
          <w:p w14:paraId="7108105B" w14:textId="77777777" w:rsidR="00AA3D84" w:rsidRDefault="004B7EC8">
            <w:pPr>
              <w:widowControl w:val="0"/>
              <w:spacing w:line="240" w:lineRule="auto"/>
              <w:rPr>
                <w:rFonts w:ascii="Newsreader" w:eastAsia="Newsreader" w:hAnsi="Newsreader" w:cs="Newsreader"/>
                <w:b/>
              </w:rPr>
            </w:pPr>
            <w:r>
              <w:rPr>
                <w:rFonts w:ascii="Newsreader" w:eastAsia="Newsreader" w:hAnsi="Newsreader" w:cs="Newsreader"/>
                <w:b/>
              </w:rPr>
              <w:t>Lê Đức Anh</w:t>
            </w:r>
          </w:p>
          <w:p w14:paraId="5D687030" w14:textId="77777777" w:rsidR="00AA3D84" w:rsidRDefault="004B7EC8">
            <w:pPr>
              <w:widowControl w:val="0"/>
              <w:spacing w:after="200" w:line="240" w:lineRule="auto"/>
              <w:rPr>
                <w:rFonts w:ascii="Newsreader" w:eastAsia="Newsreader" w:hAnsi="Newsreader" w:cs="Newsreader"/>
                <w:i/>
              </w:rPr>
            </w:pPr>
            <w:r>
              <w:rPr>
                <w:rFonts w:ascii="Newsreader" w:eastAsia="Newsreader" w:hAnsi="Newsreader" w:cs="Newsreader"/>
                <w:i/>
              </w:rPr>
              <w:t xml:space="preserve">Narrating the Vietnamese Highlands: Hmong novel “Vợ chồng A Phủ” and the Making of Tà Xùa’s Tourism Image </w:t>
            </w:r>
          </w:p>
          <w:p w14:paraId="0AA4C878" w14:textId="77777777" w:rsidR="00AA3D84" w:rsidRDefault="004B7EC8">
            <w:pPr>
              <w:widowControl w:val="0"/>
              <w:spacing w:after="200" w:line="240" w:lineRule="auto"/>
              <w:jc w:val="both"/>
              <w:rPr>
                <w:rFonts w:ascii="Newsreader" w:eastAsia="Newsreader" w:hAnsi="Newsreader" w:cs="Newsreader"/>
              </w:rPr>
            </w:pPr>
            <w:r>
              <w:rPr>
                <w:rFonts w:ascii="Newsreader" w:eastAsia="Newsreader" w:hAnsi="Newsreader" w:cs="Newsreader"/>
              </w:rPr>
              <w:t xml:space="preserve">Tà Xùa, located on the cloud-covered plateau of Bắc Yên District in Sơn La Province, is renowned not only for its majestic natural landscapes but also for its rich cultural heritage of the Hmong ethnic group. The area is closely associated with the literary symbol of “A Phủ and His Wife” in modern Vietnamese literature. This study examines the formation, dissemination, and utilization of the image of “the homeland of A Phủ and His Wife” as a cultural–tourism symbol contributing to Tà Xùa’s local branding. Using an interdisciplinary approach—combining ethnology, cultural studies, and tourism studies—the research explores the relationship between Hmong cultural preservation and community-based tourism development in Tà Xùa. Findings reveal that the image of “A Phủ and His Wife” has become a symbolic resource that strengthens </w:t>
            </w:r>
            <w:r>
              <w:rPr>
                <w:rFonts w:ascii="Newsreader" w:eastAsia="Newsreader" w:hAnsi="Newsreader" w:cs="Newsreader"/>
              </w:rPr>
              <w:lastRenderedPageBreak/>
              <w:t>local cultural identity, attracts visitors, and drives socio-economic development. However, the exploitation of this symbol must be accompanied by heritage management, respect for local values, and a commitment to sustainability. The paper concludes with several recommendations to promote Tà Xùa as a distinctive Hmong cultural destination in Vietnam’s Northwest region.</w:t>
            </w:r>
          </w:p>
          <w:p w14:paraId="6EAB4DB3" w14:textId="77777777" w:rsidR="00AA3D84" w:rsidRDefault="004B7EC8">
            <w:pPr>
              <w:widowControl w:val="0"/>
              <w:spacing w:line="240" w:lineRule="auto"/>
              <w:rPr>
                <w:rFonts w:ascii="Newsreader" w:eastAsia="Newsreader" w:hAnsi="Newsreader" w:cs="Newsreader"/>
              </w:rPr>
            </w:pPr>
            <w:r>
              <w:rPr>
                <w:rFonts w:ascii="Newsreader" w:eastAsia="Newsreader" w:hAnsi="Newsreader" w:cs="Newsreader"/>
                <w:b/>
              </w:rPr>
              <w:t>Jidapa Buayairugsa</w:t>
            </w:r>
          </w:p>
          <w:p w14:paraId="3CD0CF61" w14:textId="77777777" w:rsidR="00AA3D84" w:rsidRDefault="004B7EC8">
            <w:pPr>
              <w:widowControl w:val="0"/>
              <w:spacing w:after="200" w:line="240" w:lineRule="auto"/>
              <w:rPr>
                <w:rFonts w:ascii="Newsreader" w:eastAsia="Newsreader" w:hAnsi="Newsreader" w:cs="Newsreader"/>
                <w:i/>
              </w:rPr>
            </w:pPr>
            <w:r>
              <w:rPr>
                <w:rFonts w:ascii="Newsreader" w:eastAsia="Newsreader" w:hAnsi="Newsreader" w:cs="Newsreader"/>
                <w:i/>
              </w:rPr>
              <w:t>Transnational Learning through Queer Mobility: Thai LGBTQ Travelers’ Perspectives on Taiwan and the Future of Inclusive Tourism in Thailand</w:t>
            </w:r>
          </w:p>
          <w:p w14:paraId="31B07FC0" w14:textId="77777777" w:rsidR="00AA3D84" w:rsidRDefault="004B7EC8">
            <w:pPr>
              <w:widowControl w:val="0"/>
              <w:spacing w:after="200" w:line="240" w:lineRule="auto"/>
              <w:jc w:val="both"/>
              <w:rPr>
                <w:rFonts w:ascii="Newsreader" w:eastAsia="Newsreader" w:hAnsi="Newsreader" w:cs="Newsreader"/>
              </w:rPr>
            </w:pPr>
            <w:r>
              <w:rPr>
                <w:rFonts w:ascii="Newsreader" w:eastAsia="Newsreader" w:hAnsi="Newsreader" w:cs="Newsreader"/>
              </w:rPr>
              <w:t>Tourism in Southeast Asia has shifted from colonial and nationalist frameworks toward participation by minorities who increasingly shape their own representations. Within this transformation, queer tourism becomes a crucial space for exploring how sexual minorities engage in cross-cultural exchange and identity-making.</w:t>
            </w:r>
          </w:p>
          <w:p w14:paraId="5B21B57A" w14:textId="77777777" w:rsidR="00AA3D84" w:rsidRDefault="004B7EC8">
            <w:pPr>
              <w:widowControl w:val="0"/>
              <w:spacing w:after="200" w:line="240" w:lineRule="auto"/>
              <w:jc w:val="both"/>
              <w:rPr>
                <w:rFonts w:ascii="Newsreader" w:eastAsia="Newsreader" w:hAnsi="Newsreader" w:cs="Newsreader"/>
              </w:rPr>
            </w:pPr>
            <w:r>
              <w:rPr>
                <w:rFonts w:ascii="Newsreader" w:eastAsia="Newsreader" w:hAnsi="Newsreader" w:cs="Newsreader"/>
              </w:rPr>
              <w:t>This study aims to investigate how Thai LGBTQ travelers perceive and experience queer tourism in Taiwan, and how these transnational encounters contribute to reimagining inclusive and community-based queer tourism in Thailand. The research adopts qualitative multi-sited methods, including participant observation at Taipei Pride, in-depth interviews with Thai LGBTQ tourists, and digital ethnography of Thai-language social media. Through discourse and visual analysis, it examines how travelers interpret Taiwan’s inclusive tourism practices and translate these experiences into their own cultural and national contexts.</w:t>
            </w:r>
          </w:p>
          <w:p w14:paraId="373BE329" w14:textId="77777777" w:rsidR="00AA3D84" w:rsidRDefault="004B7EC8">
            <w:pPr>
              <w:widowControl w:val="0"/>
              <w:spacing w:after="200" w:line="240" w:lineRule="auto"/>
              <w:jc w:val="both"/>
              <w:rPr>
                <w:rFonts w:ascii="Newsreader" w:eastAsia="Newsreader" w:hAnsi="Newsreader" w:cs="Newsreader"/>
              </w:rPr>
            </w:pPr>
            <w:r>
              <w:rPr>
                <w:rFonts w:ascii="Newsreader" w:eastAsia="Newsreader" w:hAnsi="Newsreader" w:cs="Newsreader"/>
              </w:rPr>
              <w:t>The study contributes conceptually and practically to the theme of “tourism by and among minorities.” It highlights how transnational mobility enables learning, reflection, and mutual exchange among Asian LGBTQ communities. The expected outcomes include deeper theoretical insights into minority participation and practical guidance for developing Thailand’s post–marriage equality queer tourism, grounded in diversity, community engagement, and regional solidarity.</w:t>
            </w:r>
          </w:p>
          <w:p w14:paraId="0F866D92" w14:textId="77777777" w:rsidR="00AA3D84" w:rsidRDefault="00AA3D84">
            <w:pPr>
              <w:widowControl w:val="0"/>
              <w:spacing w:after="200" w:line="240" w:lineRule="auto"/>
              <w:rPr>
                <w:rFonts w:ascii="Newsreader" w:eastAsia="Newsreader" w:hAnsi="Newsreader" w:cs="Newsreader"/>
              </w:rPr>
            </w:pPr>
          </w:p>
          <w:p w14:paraId="33262D11" w14:textId="77777777" w:rsidR="00AA3D84" w:rsidRDefault="00AA3D84">
            <w:pPr>
              <w:widowControl w:val="0"/>
              <w:spacing w:after="200" w:line="240" w:lineRule="auto"/>
              <w:rPr>
                <w:rFonts w:ascii="Newsreader" w:eastAsia="Newsreader" w:hAnsi="Newsreader" w:cs="Newsreader"/>
                <w:i/>
              </w:rPr>
            </w:pPr>
          </w:p>
        </w:tc>
      </w:tr>
      <w:tr w:rsidR="00AA3D84" w14:paraId="698A873F" w14:textId="77777777">
        <w:tc>
          <w:tcPr>
            <w:tcW w:w="2059" w:type="dxa"/>
            <w:tcMar>
              <w:top w:w="100" w:type="dxa"/>
              <w:left w:w="100" w:type="dxa"/>
              <w:bottom w:w="100" w:type="dxa"/>
              <w:right w:w="100" w:type="dxa"/>
            </w:tcMar>
          </w:tcPr>
          <w:p w14:paraId="223E422C" w14:textId="77777777" w:rsidR="00AA3D84" w:rsidRDefault="00AA3D84">
            <w:pPr>
              <w:widowControl w:val="0"/>
              <w:pBdr>
                <w:top w:val="nil"/>
                <w:left w:val="nil"/>
                <w:bottom w:val="nil"/>
                <w:right w:val="nil"/>
                <w:between w:val="nil"/>
              </w:pBdr>
              <w:spacing w:after="200" w:line="240" w:lineRule="auto"/>
              <w:rPr>
                <w:rFonts w:ascii="Newsreader" w:eastAsia="Newsreader" w:hAnsi="Newsreader" w:cs="Newsreader"/>
                <w:b/>
              </w:rPr>
            </w:pPr>
          </w:p>
        </w:tc>
        <w:tc>
          <w:tcPr>
            <w:tcW w:w="6940" w:type="dxa"/>
            <w:tcMar>
              <w:top w:w="100" w:type="dxa"/>
              <w:left w:w="100" w:type="dxa"/>
              <w:bottom w:w="100" w:type="dxa"/>
              <w:right w:w="100" w:type="dxa"/>
            </w:tcMar>
          </w:tcPr>
          <w:p w14:paraId="497D5DF6" w14:textId="77777777" w:rsidR="00AA3D84" w:rsidRDefault="00AA3D84">
            <w:pPr>
              <w:widowControl w:val="0"/>
              <w:spacing w:after="200" w:line="240" w:lineRule="auto"/>
              <w:rPr>
                <w:rFonts w:ascii="Newsreader" w:eastAsia="Newsreader" w:hAnsi="Newsreader" w:cs="Newsreader"/>
                <w:b/>
              </w:rPr>
            </w:pPr>
          </w:p>
        </w:tc>
      </w:tr>
    </w:tbl>
    <w:p w14:paraId="77BF97B2" w14:textId="77777777" w:rsidR="00AA3D84" w:rsidRPr="005E7CE0" w:rsidRDefault="00AA3D84">
      <w:pPr>
        <w:spacing w:after="200"/>
        <w:rPr>
          <w:rFonts w:ascii="Newsreader" w:hAnsi="Newsreader" w:cs="Newsreader" w:hint="eastAsia"/>
          <w:b/>
        </w:rPr>
      </w:pPr>
    </w:p>
    <w:sectPr w:rsidR="00AA3D84" w:rsidRPr="005E7CE0">
      <w:headerReference w:type="default" r:id="rId6"/>
      <w:footerReference w:type="even" r:id="rId7"/>
      <w:footerReference w:type="default" r:id="rId8"/>
      <w:footerReference w:type="first" r:id="rId9"/>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C98B4D" w14:textId="77777777" w:rsidR="004B7EC8" w:rsidRDefault="004B7EC8">
      <w:pPr>
        <w:spacing w:line="240" w:lineRule="auto"/>
      </w:pPr>
      <w:r>
        <w:separator/>
      </w:r>
    </w:p>
  </w:endnote>
  <w:endnote w:type="continuationSeparator" w:id="0">
    <w:p w14:paraId="4D4363F7" w14:textId="77777777" w:rsidR="004B7EC8" w:rsidRDefault="004B7E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Newsreader">
    <w:charset w:val="00"/>
    <w:family w:val="auto"/>
    <w:pitch w:val="default"/>
    <w:embedRegular r:id="rId1" w:fontKey="{0BBE6264-674B-40AF-A681-9BC338374985}"/>
    <w:embedBold r:id="rId2" w:fontKey="{647B30E7-A701-483F-9EB1-CFD72BEA1298}"/>
    <w:embedItalic r:id="rId3" w:fontKey="{CF4C83D3-CB0C-4D90-BD11-95CFF82FD281}"/>
  </w:font>
  <w:font w:name="Aptos">
    <w:charset w:val="00"/>
    <w:family w:val="swiss"/>
    <w:pitch w:val="variable"/>
    <w:sig w:usb0="20000287" w:usb1="00000003" w:usb2="00000000" w:usb3="00000000" w:csb0="0000019F" w:csb1="00000000"/>
    <w:embedRegular r:id="rId4" w:fontKey="{171CE658-B55F-471D-B5BF-DCF436A9CCFC}"/>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F235FD21-5A16-42D4-87EF-228FD7234F53}"/>
  </w:font>
  <w:font w:name="Cambria">
    <w:panose1 w:val="02040503050406030204"/>
    <w:charset w:val="00"/>
    <w:family w:val="roman"/>
    <w:pitch w:val="variable"/>
    <w:sig w:usb0="E00006FF" w:usb1="420024FF" w:usb2="02000000" w:usb3="00000000" w:csb0="0000019F" w:csb1="00000000"/>
    <w:embedRegular r:id="rId6" w:fontKey="{D496DB72-BFF2-4956-B741-2FAF0973D1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D0C42" w14:textId="4D79F2D1" w:rsidR="0061282C" w:rsidRDefault="0061282C">
    <w:pPr>
      <w:pStyle w:val="Footer"/>
    </w:pPr>
    <w:r>
      <w:rPr>
        <w:noProof/>
      </w:rPr>
      <mc:AlternateContent>
        <mc:Choice Requires="wps">
          <w:drawing>
            <wp:anchor distT="0" distB="0" distL="0" distR="0" simplePos="0" relativeHeight="251659264" behindDoc="0" locked="0" layoutInCell="1" allowOverlap="1" wp14:anchorId="5A65215E" wp14:editId="25E05061">
              <wp:simplePos x="635" y="635"/>
              <wp:positionH relativeFrom="page">
                <wp:align>left</wp:align>
              </wp:positionH>
              <wp:positionV relativeFrom="page">
                <wp:align>bottom</wp:align>
              </wp:positionV>
              <wp:extent cx="1817370" cy="368935"/>
              <wp:effectExtent l="0" t="0" r="11430" b="0"/>
              <wp:wrapNone/>
              <wp:docPr id="618437299" name="Text Box 2" descr="Classified as Internal |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17370" cy="368935"/>
                      </a:xfrm>
                      <a:prstGeom prst="rect">
                        <a:avLst/>
                      </a:prstGeom>
                      <a:noFill/>
                      <a:ln>
                        <a:noFill/>
                      </a:ln>
                    </wps:spPr>
                    <wps:txbx>
                      <w:txbxContent>
                        <w:p w14:paraId="39246620" w14:textId="446E9CE9" w:rsidR="0061282C" w:rsidRPr="0061282C" w:rsidRDefault="0061282C" w:rsidP="0061282C">
                          <w:pPr>
                            <w:rPr>
                              <w:rFonts w:ascii="Aptos" w:eastAsia="Aptos" w:hAnsi="Aptos" w:cs="Aptos"/>
                              <w:noProof/>
                              <w:color w:val="000000"/>
                              <w:sz w:val="20"/>
                              <w:szCs w:val="20"/>
                            </w:rPr>
                          </w:pPr>
                          <w:r w:rsidRPr="0061282C">
                            <w:rPr>
                              <w:rFonts w:ascii="Aptos" w:eastAsia="Aptos" w:hAnsi="Aptos" w:cs="Aptos"/>
                              <w:noProof/>
                              <w:color w:val="000000"/>
                              <w:sz w:val="20"/>
                              <w:szCs w:val="20"/>
                            </w:rPr>
                            <w:t>Classified as Internal | 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A65215E" id="_x0000_t202" coordsize="21600,21600" o:spt="202" path="m,l,21600r21600,l21600,xe">
              <v:stroke joinstyle="miter"/>
              <v:path gradientshapeok="t" o:connecttype="rect"/>
            </v:shapetype>
            <v:shape id="Text Box 2" o:spid="_x0000_s1026" type="#_x0000_t202" alt="Classified as Internal | Intern" style="position:absolute;margin-left:0;margin-top:0;width:143.1pt;height:29.0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" filled="f" stroked="f">
              <v:fill o:detectmouseclick="t"/>
              <v:textbox style="mso-fit-shape-to-text:t" inset="20pt,0,0,15pt">
                <w:txbxContent>
                  <w:p w14:paraId="39246620" w14:textId="446E9CE9" w:rsidR="0061282C" w:rsidRPr="0061282C" w:rsidRDefault="0061282C" w:rsidP="0061282C">
                    <w:pPr>
                      <w:rPr>
                        <w:rFonts w:ascii="Aptos" w:eastAsia="Aptos" w:hAnsi="Aptos" w:cs="Aptos"/>
                        <w:noProof/>
                        <w:color w:val="000000"/>
                        <w:sz w:val="20"/>
                        <w:szCs w:val="20"/>
                      </w:rPr>
                    </w:pPr>
                    <w:r w:rsidRPr="0061282C">
                      <w:rPr>
                        <w:rFonts w:ascii="Aptos" w:eastAsia="Aptos" w:hAnsi="Aptos" w:cs="Aptos"/>
                        <w:noProof/>
                        <w:color w:val="000000"/>
                        <w:sz w:val="20"/>
                        <w:szCs w:val="20"/>
                      </w:rPr>
                      <w:t>Classified as Internal | Intern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6864F" w14:textId="073AD91F" w:rsidR="0061282C" w:rsidRDefault="0061282C">
    <w:pPr>
      <w:pStyle w:val="Footer"/>
    </w:pPr>
    <w:r>
      <w:rPr>
        <w:noProof/>
      </w:rPr>
      <mc:AlternateContent>
        <mc:Choice Requires="wps">
          <w:drawing>
            <wp:anchor distT="0" distB="0" distL="0" distR="0" simplePos="0" relativeHeight="251660288" behindDoc="0" locked="0" layoutInCell="1" allowOverlap="1" wp14:anchorId="77A832AE" wp14:editId="418760E8">
              <wp:simplePos x="914400" y="10073640"/>
              <wp:positionH relativeFrom="page">
                <wp:align>left</wp:align>
              </wp:positionH>
              <wp:positionV relativeFrom="page">
                <wp:align>bottom</wp:align>
              </wp:positionV>
              <wp:extent cx="1817370" cy="368935"/>
              <wp:effectExtent l="0" t="0" r="11430" b="0"/>
              <wp:wrapNone/>
              <wp:docPr id="948912296" name="Text Box 3" descr="Classified as Internal |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17370" cy="368935"/>
                      </a:xfrm>
                      <a:prstGeom prst="rect">
                        <a:avLst/>
                      </a:prstGeom>
                      <a:noFill/>
                      <a:ln>
                        <a:noFill/>
                      </a:ln>
                    </wps:spPr>
                    <wps:txbx>
                      <w:txbxContent>
                        <w:p w14:paraId="78A575AC" w14:textId="7EA03759" w:rsidR="0061282C" w:rsidRPr="0061282C" w:rsidRDefault="0061282C" w:rsidP="0061282C">
                          <w:pPr>
                            <w:rPr>
                              <w:rFonts w:ascii="Aptos" w:eastAsia="Aptos" w:hAnsi="Aptos" w:cs="Aptos"/>
                              <w:noProof/>
                              <w:color w:val="000000"/>
                              <w:sz w:val="20"/>
                              <w:szCs w:val="20"/>
                            </w:rPr>
                          </w:pPr>
                          <w:r w:rsidRPr="0061282C">
                            <w:rPr>
                              <w:rFonts w:ascii="Aptos" w:eastAsia="Aptos" w:hAnsi="Aptos" w:cs="Aptos"/>
                              <w:noProof/>
                              <w:color w:val="000000"/>
                              <w:sz w:val="20"/>
                              <w:szCs w:val="20"/>
                            </w:rPr>
                            <w:t>Classified as Internal | 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7A832AE" id="_x0000_t202" coordsize="21600,21600" o:spt="202" path="m,l,21600r21600,l21600,xe">
              <v:stroke joinstyle="miter"/>
              <v:path gradientshapeok="t" o:connecttype="rect"/>
            </v:shapetype>
            <v:shape id="Text Box 3" o:spid="_x0000_s1027" type="#_x0000_t202" alt="Classified as Internal | Intern" style="position:absolute;margin-left:0;margin-top:0;width:143.1pt;height:29.0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" filled="f" stroked="f">
              <v:fill o:detectmouseclick="t"/>
              <v:textbox style="mso-fit-shape-to-text:t" inset="20pt,0,0,15pt">
                <w:txbxContent>
                  <w:p w14:paraId="78A575AC" w14:textId="7EA03759" w:rsidR="0061282C" w:rsidRPr="0061282C" w:rsidRDefault="0061282C" w:rsidP="0061282C">
                    <w:pPr>
                      <w:rPr>
                        <w:rFonts w:ascii="Aptos" w:eastAsia="Aptos" w:hAnsi="Aptos" w:cs="Aptos"/>
                        <w:noProof/>
                        <w:color w:val="000000"/>
                        <w:sz w:val="20"/>
                        <w:szCs w:val="20"/>
                      </w:rPr>
                    </w:pPr>
                    <w:r w:rsidRPr="0061282C">
                      <w:rPr>
                        <w:rFonts w:ascii="Aptos" w:eastAsia="Aptos" w:hAnsi="Aptos" w:cs="Aptos"/>
                        <w:noProof/>
                        <w:color w:val="000000"/>
                        <w:sz w:val="20"/>
                        <w:szCs w:val="20"/>
                      </w:rPr>
                      <w:t>Classified as Internal | Intern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4A0F4" w14:textId="64CF4C36" w:rsidR="0061282C" w:rsidRDefault="0061282C">
    <w:pPr>
      <w:pStyle w:val="Footer"/>
    </w:pPr>
    <w:r>
      <w:rPr>
        <w:noProof/>
      </w:rPr>
      <mc:AlternateContent>
        <mc:Choice Requires="wps">
          <w:drawing>
            <wp:anchor distT="0" distB="0" distL="0" distR="0" simplePos="0" relativeHeight="251658240" behindDoc="0" locked="0" layoutInCell="1" allowOverlap="1" wp14:anchorId="7FABA37B" wp14:editId="01CC034D">
              <wp:simplePos x="635" y="635"/>
              <wp:positionH relativeFrom="page">
                <wp:align>left</wp:align>
              </wp:positionH>
              <wp:positionV relativeFrom="page">
                <wp:align>bottom</wp:align>
              </wp:positionV>
              <wp:extent cx="1817370" cy="368935"/>
              <wp:effectExtent l="0" t="0" r="11430" b="0"/>
              <wp:wrapNone/>
              <wp:docPr id="148335841" name="Text Box 1" descr="Classified as Internal |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17370" cy="368935"/>
                      </a:xfrm>
                      <a:prstGeom prst="rect">
                        <a:avLst/>
                      </a:prstGeom>
                      <a:noFill/>
                      <a:ln>
                        <a:noFill/>
                      </a:ln>
                    </wps:spPr>
                    <wps:txbx>
                      <w:txbxContent>
                        <w:p w14:paraId="381D8293" w14:textId="5F271492" w:rsidR="0061282C" w:rsidRPr="0061282C" w:rsidRDefault="0061282C" w:rsidP="0061282C">
                          <w:pPr>
                            <w:rPr>
                              <w:rFonts w:ascii="Aptos" w:eastAsia="Aptos" w:hAnsi="Aptos" w:cs="Aptos"/>
                              <w:noProof/>
                              <w:color w:val="000000"/>
                              <w:sz w:val="20"/>
                              <w:szCs w:val="20"/>
                            </w:rPr>
                          </w:pPr>
                          <w:r w:rsidRPr="0061282C">
                            <w:rPr>
                              <w:rFonts w:ascii="Aptos" w:eastAsia="Aptos" w:hAnsi="Aptos" w:cs="Aptos"/>
                              <w:noProof/>
                              <w:color w:val="000000"/>
                              <w:sz w:val="20"/>
                              <w:szCs w:val="20"/>
                            </w:rPr>
                            <w:t>Classified as Internal | 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FABA37B" id="_x0000_t202" coordsize="21600,21600" o:spt="202" path="m,l,21600r21600,l21600,xe">
              <v:stroke joinstyle="miter"/>
              <v:path gradientshapeok="t" o:connecttype="rect"/>
            </v:shapetype>
            <v:shape id="Text Box 1" o:spid="_x0000_s1028" type="#_x0000_t202" alt="Classified as Internal | Intern" style="position:absolute;margin-left:0;margin-top:0;width:143.1pt;height:29.0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" filled="f" stroked="f">
              <v:fill o:detectmouseclick="t"/>
              <v:textbox style="mso-fit-shape-to-text:t" inset="20pt,0,0,15pt">
                <w:txbxContent>
                  <w:p w14:paraId="381D8293" w14:textId="5F271492" w:rsidR="0061282C" w:rsidRPr="0061282C" w:rsidRDefault="0061282C" w:rsidP="0061282C">
                    <w:pPr>
                      <w:rPr>
                        <w:rFonts w:ascii="Aptos" w:eastAsia="Aptos" w:hAnsi="Aptos" w:cs="Aptos"/>
                        <w:noProof/>
                        <w:color w:val="000000"/>
                        <w:sz w:val="20"/>
                        <w:szCs w:val="20"/>
                      </w:rPr>
                    </w:pPr>
                    <w:r w:rsidRPr="0061282C">
                      <w:rPr>
                        <w:rFonts w:ascii="Aptos" w:eastAsia="Aptos" w:hAnsi="Aptos" w:cs="Aptos"/>
                        <w:noProof/>
                        <w:color w:val="000000"/>
                        <w:sz w:val="20"/>
                        <w:szCs w:val="20"/>
                      </w:rPr>
                      <w:t>Classified as Internal | Intern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C09B92" w14:textId="77777777" w:rsidR="004B7EC8" w:rsidRDefault="004B7EC8">
      <w:pPr>
        <w:spacing w:line="240" w:lineRule="auto"/>
      </w:pPr>
      <w:r>
        <w:separator/>
      </w:r>
    </w:p>
  </w:footnote>
  <w:footnote w:type="continuationSeparator" w:id="0">
    <w:p w14:paraId="5BA2B9EC" w14:textId="77777777" w:rsidR="004B7EC8" w:rsidRDefault="004B7EC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3D7E0" w14:textId="77777777" w:rsidR="00AA3D84" w:rsidRDefault="00AA3D8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D84"/>
    <w:rsid w:val="004B7EC8"/>
    <w:rsid w:val="005E7CE0"/>
    <w:rsid w:val="0061282C"/>
    <w:rsid w:val="00AA3D84"/>
    <w:rsid w:val="00BB01B5"/>
    <w:rsid w:val="00E75D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03E59E04"/>
  <w15:docId w15:val="{958EBBAB-83FF-4387-8315-8241CB1D4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 w:type="table" w:customStyle="1" w:styleId="a">
    <w:basedOn w:val="TableNormal0"/>
    <w:tblPr>
      <w:tblStyleRowBandSize w:val="1"/>
      <w:tblStyleColBandSize w:val="1"/>
    </w:tblPr>
  </w:style>
  <w:style w:type="paragraph" w:styleId="Footer">
    <w:name w:val="footer"/>
    <w:basedOn w:val="Normal"/>
    <w:link w:val="FooterChar"/>
    <w:uiPriority w:val="99"/>
    <w:unhideWhenUsed/>
    <w:rsid w:val="0061282C"/>
    <w:pPr>
      <w:tabs>
        <w:tab w:val="center" w:pos="4680"/>
        <w:tab w:val="right" w:pos="9360"/>
      </w:tabs>
      <w:spacing w:line="240" w:lineRule="auto"/>
    </w:pPr>
  </w:style>
  <w:style w:type="character" w:customStyle="1" w:styleId="FooterChar">
    <w:name w:val="Footer Char"/>
    <w:basedOn w:val="DefaultParagraphFont"/>
    <w:link w:val="Footer"/>
    <w:uiPriority w:val="99"/>
    <w:rsid w:val="006128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d465f887-04a9-4c17-8b62-103eddccf68b}" enabled="1" method="Standard" siteId="{ca2a7f76-dbd7-4ec0-9108-6b3d524fb7c8}" contentBits="2"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1852</Words>
  <Characters>10562</Characters>
  <Application>Microsoft Office Word</Application>
  <DocSecurity>4</DocSecurity>
  <Lines>88</Lines>
  <Paragraphs>24</Paragraphs>
  <ScaleCrop>false</ScaleCrop>
  <Company/>
  <LinksUpToDate>false</LinksUpToDate>
  <CharactersWithSpaces>12390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加藤Kato久美子Kumiko</dc:creator>
  <cp:lastModifiedBy>Siegers, S.R. (Yayah)</cp:lastModifiedBy>
  <cp:revision>2</cp:revision>
  <dcterms:created xsi:type="dcterms:W3CDTF">2025-12-03T00:20:00Z</dcterms:created>
  <dcterms:modified xsi:type="dcterms:W3CDTF">2025-12-03T00:20:00Z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c0e1d303-bd50-432f-99e9-e6b759f228ae</vt:lpwstr>
  </property>
  <property fmtid="{D5CDD505-2E9C-101B-9397-08002B2CF9AE}" pid="3" name="ClassificationContentMarkingFooterShapeIds">
    <vt:lpwstr>8d76ce1,24dc9ab3,388f40a8</vt:lpwstr>
  </property>
  <property fmtid="{D5CDD505-2E9C-101B-9397-08002B2CF9AE}" pid="4" name="ClassificationContentMarkingFooterFontProps">
    <vt:lpwstr>#000000,10,Aptos</vt:lpwstr>
  </property>
  <property fmtid="{D5CDD505-2E9C-101B-9397-08002B2CF9AE}" pid="5" name="ClassificationContentMarkingFooterText">
    <vt:lpwstr>Classified as Internal | Intern</vt:lpwstr>
  </property>
</Properties>
</file>