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D499A" w14:textId="412A27EA" w:rsidR="00EE07A1" w:rsidRPr="008F1CDD" w:rsidRDefault="002D54E8" w:rsidP="00623B8D">
      <w:pPr>
        <w:spacing w:line="240" w:lineRule="auto"/>
        <w:jc w:val="center"/>
        <w:rPr>
          <w:rFonts w:ascii="Arial" w:hAnsi="Arial" w:cs="Arial"/>
          <w:b/>
          <w:bCs/>
          <w:sz w:val="24"/>
          <w:szCs w:val="24"/>
        </w:rPr>
      </w:pPr>
      <w:r>
        <w:rPr>
          <w:rFonts w:ascii="Arial" w:hAnsi="Arial" w:cs="Arial"/>
          <w:b/>
          <w:bCs/>
          <w:sz w:val="24"/>
          <w:szCs w:val="24"/>
        </w:rPr>
        <w:t>EuroSEAS 2026</w:t>
      </w:r>
      <w:r w:rsidR="00623B8D">
        <w:rPr>
          <w:rFonts w:ascii="Arial" w:hAnsi="Arial" w:cs="Arial"/>
          <w:b/>
          <w:bCs/>
          <w:sz w:val="24"/>
          <w:szCs w:val="24"/>
        </w:rPr>
        <w:br/>
      </w:r>
      <w:r w:rsidR="00EE07A1" w:rsidRPr="008F1CDD">
        <w:rPr>
          <w:rFonts w:ascii="Arial" w:hAnsi="Arial" w:cs="Arial"/>
          <w:b/>
          <w:bCs/>
          <w:sz w:val="24"/>
          <w:szCs w:val="24"/>
        </w:rPr>
        <w:t>1-</w:t>
      </w:r>
      <w:r>
        <w:rPr>
          <w:rFonts w:ascii="Arial" w:hAnsi="Arial" w:cs="Arial"/>
          <w:b/>
          <w:bCs/>
          <w:sz w:val="24"/>
          <w:szCs w:val="24"/>
        </w:rPr>
        <w:t>3</w:t>
      </w:r>
      <w:r w:rsidR="00EE07A1" w:rsidRPr="008F1CDD">
        <w:rPr>
          <w:rFonts w:ascii="Arial" w:hAnsi="Arial" w:cs="Arial"/>
          <w:b/>
          <w:bCs/>
          <w:sz w:val="24"/>
          <w:szCs w:val="24"/>
        </w:rPr>
        <w:t xml:space="preserve"> </w:t>
      </w:r>
      <w:r>
        <w:rPr>
          <w:rFonts w:ascii="Arial" w:hAnsi="Arial" w:cs="Arial"/>
          <w:b/>
          <w:bCs/>
          <w:sz w:val="24"/>
          <w:szCs w:val="24"/>
        </w:rPr>
        <w:t xml:space="preserve">September </w:t>
      </w:r>
      <w:r w:rsidR="00EE07A1" w:rsidRPr="008F1CDD">
        <w:rPr>
          <w:rFonts w:ascii="Arial" w:hAnsi="Arial" w:cs="Arial"/>
          <w:b/>
          <w:bCs/>
          <w:sz w:val="24"/>
          <w:szCs w:val="24"/>
        </w:rPr>
        <w:t>202</w:t>
      </w:r>
      <w:r>
        <w:rPr>
          <w:rFonts w:ascii="Arial" w:hAnsi="Arial" w:cs="Arial"/>
          <w:b/>
          <w:bCs/>
          <w:sz w:val="24"/>
          <w:szCs w:val="24"/>
        </w:rPr>
        <w:t>6</w:t>
      </w:r>
      <w:r w:rsidR="00EE07A1" w:rsidRPr="008F1CDD">
        <w:rPr>
          <w:rFonts w:ascii="Arial" w:hAnsi="Arial" w:cs="Arial"/>
          <w:b/>
          <w:bCs/>
          <w:sz w:val="24"/>
          <w:szCs w:val="24"/>
        </w:rPr>
        <w:t>,</w:t>
      </w:r>
      <w:r>
        <w:rPr>
          <w:rFonts w:ascii="Arial" w:hAnsi="Arial" w:cs="Arial"/>
          <w:b/>
          <w:bCs/>
          <w:sz w:val="24"/>
          <w:szCs w:val="24"/>
        </w:rPr>
        <w:t xml:space="preserve"> Madrid, Spain</w:t>
      </w:r>
    </w:p>
    <w:p w14:paraId="659C6018" w14:textId="31E6246E" w:rsidR="00EE07A1" w:rsidRPr="00EE07A1" w:rsidRDefault="00EE07A1" w:rsidP="00623B8D">
      <w:pPr>
        <w:spacing w:line="240" w:lineRule="auto"/>
        <w:rPr>
          <w:rFonts w:ascii="Arial" w:hAnsi="Arial" w:cs="Arial"/>
          <w:sz w:val="24"/>
          <w:szCs w:val="24"/>
        </w:rPr>
      </w:pPr>
      <w:r w:rsidRPr="008F1CDD">
        <w:rPr>
          <w:rFonts w:ascii="Arial" w:hAnsi="Arial" w:cs="Arial"/>
          <w:b/>
          <w:bCs/>
          <w:sz w:val="24"/>
          <w:szCs w:val="24"/>
        </w:rPr>
        <w:t xml:space="preserve">Panel </w:t>
      </w:r>
      <w:r w:rsidRPr="00EE07A1">
        <w:rPr>
          <w:rFonts w:ascii="Arial" w:hAnsi="Arial" w:cs="Arial"/>
          <w:b/>
          <w:bCs/>
          <w:sz w:val="24"/>
          <w:szCs w:val="24"/>
        </w:rPr>
        <w:t xml:space="preserve">Title: </w:t>
      </w:r>
      <w:bookmarkStart w:id="0" w:name="_Hlk180662687"/>
      <w:r w:rsidR="002D54E8">
        <w:rPr>
          <w:rFonts w:ascii="Arial" w:hAnsi="Arial" w:cs="Arial"/>
          <w:b/>
          <w:bCs/>
          <w:sz w:val="24"/>
          <w:szCs w:val="24"/>
        </w:rPr>
        <w:t>The Political Ecology of Climate</w:t>
      </w:r>
      <w:r w:rsidR="00814454">
        <w:rPr>
          <w:rFonts w:ascii="Arial" w:hAnsi="Arial" w:cs="Arial"/>
          <w:b/>
          <w:bCs/>
          <w:sz w:val="24"/>
          <w:szCs w:val="24"/>
        </w:rPr>
        <w:t xml:space="preserve"> Injustice in Mainland Southeast Asia</w:t>
      </w:r>
    </w:p>
    <w:bookmarkEnd w:id="0"/>
    <w:p w14:paraId="3B1F593A" w14:textId="0CDFD8FB" w:rsidR="00EE07A1" w:rsidRPr="00EE07A1" w:rsidRDefault="00EE07A1" w:rsidP="00623B8D">
      <w:pPr>
        <w:spacing w:line="240" w:lineRule="auto"/>
        <w:rPr>
          <w:rFonts w:ascii="Arial" w:hAnsi="Arial" w:cs="Arial"/>
          <w:sz w:val="24"/>
          <w:szCs w:val="24"/>
        </w:rPr>
      </w:pPr>
      <w:r w:rsidRPr="00EE07A1">
        <w:rPr>
          <w:rFonts w:ascii="Arial" w:hAnsi="Arial" w:cs="Arial"/>
          <w:b/>
          <w:bCs/>
          <w:sz w:val="24"/>
          <w:szCs w:val="24"/>
        </w:rPr>
        <w:t>Organizer:</w:t>
      </w:r>
      <w:r w:rsidRPr="00EE07A1">
        <w:rPr>
          <w:rFonts w:ascii="Arial" w:hAnsi="Arial" w:cs="Arial"/>
          <w:sz w:val="24"/>
          <w:szCs w:val="24"/>
        </w:rPr>
        <w:t xml:space="preserve"> </w:t>
      </w:r>
      <w:r w:rsidRPr="008F1CDD">
        <w:rPr>
          <w:rFonts w:ascii="Arial" w:hAnsi="Arial" w:cs="Arial"/>
          <w:sz w:val="24"/>
          <w:szCs w:val="24"/>
        </w:rPr>
        <w:t>Dr</w:t>
      </w:r>
      <w:r w:rsidR="000135A1" w:rsidRPr="008F1CDD">
        <w:rPr>
          <w:rFonts w:ascii="Arial" w:hAnsi="Arial" w:cs="Arial"/>
          <w:sz w:val="24"/>
          <w:szCs w:val="24"/>
        </w:rPr>
        <w:t>.</w:t>
      </w:r>
      <w:r w:rsidR="002D54E8">
        <w:rPr>
          <w:rFonts w:ascii="Arial" w:hAnsi="Arial" w:cs="Arial"/>
          <w:sz w:val="24"/>
          <w:szCs w:val="24"/>
        </w:rPr>
        <w:t xml:space="preserve"> Danny Marks</w:t>
      </w:r>
      <w:r w:rsidR="00F84C69">
        <w:rPr>
          <w:rFonts w:ascii="Arial" w:hAnsi="Arial" w:cs="Arial"/>
          <w:sz w:val="24"/>
          <w:szCs w:val="24"/>
        </w:rPr>
        <w:t xml:space="preserve"> </w:t>
      </w:r>
    </w:p>
    <w:p w14:paraId="67AD6030" w14:textId="679F2FFA" w:rsidR="000135A1" w:rsidRPr="008F1CDD" w:rsidRDefault="000135A1" w:rsidP="00623B8D">
      <w:pPr>
        <w:spacing w:line="240" w:lineRule="auto"/>
        <w:rPr>
          <w:rFonts w:ascii="Arial" w:hAnsi="Arial" w:cs="Arial"/>
          <w:b/>
          <w:bCs/>
          <w:sz w:val="24"/>
          <w:szCs w:val="24"/>
        </w:rPr>
      </w:pPr>
      <w:r w:rsidRPr="008F1CDD">
        <w:rPr>
          <w:rFonts w:ascii="Arial" w:hAnsi="Arial" w:cs="Arial"/>
          <w:b/>
          <w:bCs/>
          <w:sz w:val="24"/>
          <w:szCs w:val="24"/>
        </w:rPr>
        <w:t>P</w:t>
      </w:r>
      <w:r w:rsidR="00A44306" w:rsidRPr="008F1CDD">
        <w:rPr>
          <w:rFonts w:ascii="Arial" w:hAnsi="Arial" w:cs="Arial"/>
          <w:b/>
          <w:bCs/>
          <w:sz w:val="24"/>
          <w:szCs w:val="24"/>
        </w:rPr>
        <w:t>resenters</w:t>
      </w:r>
      <w:r w:rsidRPr="008F1CDD">
        <w:rPr>
          <w:rFonts w:ascii="Arial" w:hAnsi="Arial" w:cs="Arial"/>
          <w:b/>
          <w:bCs/>
          <w:sz w:val="24"/>
          <w:szCs w:val="24"/>
        </w:rPr>
        <w:t xml:space="preserve">: </w:t>
      </w:r>
    </w:p>
    <w:p w14:paraId="3545D3C8" w14:textId="462A099D" w:rsidR="00A44306" w:rsidRPr="008F1CDD" w:rsidRDefault="002D54E8" w:rsidP="00623B8D">
      <w:pPr>
        <w:spacing w:line="240" w:lineRule="auto"/>
        <w:rPr>
          <w:rFonts w:ascii="Arial" w:hAnsi="Arial" w:cs="Arial"/>
          <w:sz w:val="24"/>
          <w:szCs w:val="24"/>
        </w:rPr>
      </w:pPr>
      <w:r>
        <w:rPr>
          <w:rFonts w:ascii="Arial" w:hAnsi="Arial" w:cs="Arial"/>
          <w:sz w:val="24"/>
          <w:szCs w:val="24"/>
        </w:rPr>
        <w:t>Dr. Mucahid Bayrak, National Taiwan Normal University</w:t>
      </w:r>
      <w:r w:rsidR="00B02B13">
        <w:rPr>
          <w:rFonts w:ascii="Arial" w:hAnsi="Arial" w:cs="Arial"/>
          <w:sz w:val="24"/>
          <w:szCs w:val="24"/>
        </w:rPr>
        <w:t xml:space="preserve"> (Associate Professor</w:t>
      </w:r>
      <w:r w:rsidR="00BF6760">
        <w:rPr>
          <w:rFonts w:ascii="Arial" w:hAnsi="Arial" w:cs="Arial"/>
          <w:sz w:val="24"/>
          <w:szCs w:val="24"/>
        </w:rPr>
        <w:t>, Department of Geography</w:t>
      </w:r>
      <w:r w:rsidR="00B02B13">
        <w:rPr>
          <w:rFonts w:ascii="Arial" w:hAnsi="Arial" w:cs="Arial"/>
          <w:sz w:val="24"/>
          <w:szCs w:val="24"/>
        </w:rPr>
        <w:t>)</w:t>
      </w:r>
    </w:p>
    <w:p w14:paraId="6954E109" w14:textId="7F4293C9" w:rsidR="00A44306" w:rsidRPr="008F1CDD" w:rsidRDefault="002D54E8" w:rsidP="00623B8D">
      <w:pPr>
        <w:spacing w:line="240" w:lineRule="auto"/>
        <w:rPr>
          <w:rFonts w:ascii="Arial" w:hAnsi="Arial" w:cs="Arial"/>
          <w:sz w:val="24"/>
          <w:szCs w:val="24"/>
        </w:rPr>
      </w:pPr>
      <w:r>
        <w:rPr>
          <w:rFonts w:ascii="Arial" w:hAnsi="Arial" w:cs="Arial"/>
          <w:sz w:val="24"/>
          <w:szCs w:val="24"/>
        </w:rPr>
        <w:t>Dr. Christine Bonnin, University College Dublin</w:t>
      </w:r>
      <w:r w:rsidR="00B02B13">
        <w:rPr>
          <w:rFonts w:ascii="Arial" w:hAnsi="Arial" w:cs="Arial"/>
          <w:sz w:val="24"/>
          <w:szCs w:val="24"/>
        </w:rPr>
        <w:t xml:space="preserve"> (Assistant Professor</w:t>
      </w:r>
      <w:r w:rsidR="00BF6760">
        <w:rPr>
          <w:rFonts w:ascii="Arial" w:hAnsi="Arial" w:cs="Arial"/>
          <w:sz w:val="24"/>
          <w:szCs w:val="24"/>
        </w:rPr>
        <w:t>, School of Geography</w:t>
      </w:r>
      <w:r w:rsidR="00B02B13">
        <w:rPr>
          <w:rFonts w:ascii="Arial" w:hAnsi="Arial" w:cs="Arial"/>
          <w:sz w:val="24"/>
          <w:szCs w:val="24"/>
        </w:rPr>
        <w:t>)</w:t>
      </w:r>
    </w:p>
    <w:p w14:paraId="01A7C240" w14:textId="6C7023EB" w:rsidR="002D54E8" w:rsidRDefault="002D54E8" w:rsidP="00623B8D">
      <w:pPr>
        <w:spacing w:line="240" w:lineRule="auto"/>
        <w:rPr>
          <w:rFonts w:ascii="Arial" w:hAnsi="Arial" w:cs="Arial"/>
          <w:sz w:val="24"/>
          <w:szCs w:val="24"/>
        </w:rPr>
      </w:pPr>
      <w:r>
        <w:rPr>
          <w:rFonts w:ascii="Arial" w:hAnsi="Arial" w:cs="Arial"/>
          <w:sz w:val="24"/>
          <w:szCs w:val="24"/>
        </w:rPr>
        <w:t>Sauvanithi Yupho, Rutgers University (PhD student</w:t>
      </w:r>
      <w:r w:rsidR="00BF6760">
        <w:rPr>
          <w:rFonts w:ascii="Arial" w:hAnsi="Arial" w:cs="Arial"/>
          <w:sz w:val="24"/>
          <w:szCs w:val="24"/>
        </w:rPr>
        <w:t>, Department of Geography</w:t>
      </w:r>
      <w:r>
        <w:rPr>
          <w:rFonts w:ascii="Arial" w:hAnsi="Arial" w:cs="Arial"/>
          <w:sz w:val="24"/>
          <w:szCs w:val="24"/>
        </w:rPr>
        <w:t xml:space="preserve">) </w:t>
      </w:r>
    </w:p>
    <w:p w14:paraId="407101AA" w14:textId="50F58227" w:rsidR="00814454" w:rsidRDefault="000135A1" w:rsidP="00623B8D">
      <w:pPr>
        <w:spacing w:line="240" w:lineRule="auto"/>
        <w:rPr>
          <w:rFonts w:ascii="Arial" w:hAnsi="Arial" w:cs="Arial"/>
          <w:sz w:val="24"/>
          <w:szCs w:val="24"/>
        </w:rPr>
      </w:pPr>
      <w:r w:rsidRPr="008F1CDD">
        <w:rPr>
          <w:rFonts w:ascii="Arial" w:hAnsi="Arial" w:cs="Arial"/>
          <w:sz w:val="24"/>
          <w:szCs w:val="24"/>
        </w:rPr>
        <w:t>Dr. Danny Marks, Dublin City University</w:t>
      </w:r>
      <w:r w:rsidR="00B02B13">
        <w:rPr>
          <w:rFonts w:ascii="Arial" w:hAnsi="Arial" w:cs="Arial"/>
          <w:sz w:val="24"/>
          <w:szCs w:val="24"/>
        </w:rPr>
        <w:t xml:space="preserve"> (Assistant Professor</w:t>
      </w:r>
      <w:r w:rsidR="00BF6760">
        <w:rPr>
          <w:rFonts w:ascii="Arial" w:hAnsi="Arial" w:cs="Arial"/>
          <w:sz w:val="24"/>
          <w:szCs w:val="24"/>
        </w:rPr>
        <w:t>, School of Law and Government</w:t>
      </w:r>
      <w:r w:rsidR="00B02B13">
        <w:rPr>
          <w:rFonts w:ascii="Arial" w:hAnsi="Arial" w:cs="Arial"/>
          <w:sz w:val="24"/>
          <w:szCs w:val="24"/>
        </w:rPr>
        <w:t>)</w:t>
      </w:r>
    </w:p>
    <w:p w14:paraId="6C77A280" w14:textId="5B7C08F8" w:rsidR="00814454" w:rsidRPr="00814454" w:rsidRDefault="00814454" w:rsidP="00623B8D">
      <w:pPr>
        <w:spacing w:line="240" w:lineRule="auto"/>
        <w:rPr>
          <w:rFonts w:ascii="Arial" w:hAnsi="Arial" w:cs="Arial"/>
          <w:sz w:val="24"/>
          <w:szCs w:val="24"/>
        </w:rPr>
      </w:pPr>
      <w:r w:rsidRPr="00814454">
        <w:rPr>
          <w:rFonts w:ascii="Arial" w:hAnsi="Arial" w:cs="Arial"/>
          <w:b/>
          <w:bCs/>
          <w:sz w:val="24"/>
          <w:szCs w:val="24"/>
        </w:rPr>
        <w:t>Format:</w:t>
      </w:r>
    </w:p>
    <w:p w14:paraId="139FBC52" w14:textId="783E8C53" w:rsidR="00814454" w:rsidRPr="008F1CDD" w:rsidRDefault="00814454" w:rsidP="00623B8D">
      <w:pPr>
        <w:spacing w:line="240" w:lineRule="auto"/>
        <w:rPr>
          <w:rFonts w:ascii="Arial" w:hAnsi="Arial" w:cs="Arial"/>
          <w:sz w:val="24"/>
          <w:szCs w:val="24"/>
        </w:rPr>
      </w:pPr>
      <w:r>
        <w:rPr>
          <w:rFonts w:ascii="Arial" w:hAnsi="Arial" w:cs="Arial"/>
          <w:sz w:val="24"/>
          <w:szCs w:val="24"/>
        </w:rPr>
        <w:t>Classical panel with ample time for Q&amp;A. We will also consider adding a discussant.</w:t>
      </w:r>
    </w:p>
    <w:p w14:paraId="15948D5E" w14:textId="77777777" w:rsidR="00A7576B" w:rsidRDefault="00C86E32" w:rsidP="00623B8D">
      <w:pPr>
        <w:spacing w:line="240" w:lineRule="auto"/>
        <w:rPr>
          <w:rFonts w:ascii="Arial" w:hAnsi="Arial" w:cs="Arial"/>
          <w:sz w:val="24"/>
          <w:szCs w:val="24"/>
        </w:rPr>
      </w:pPr>
      <w:r w:rsidRPr="008F1CDD">
        <w:rPr>
          <w:rFonts w:ascii="Arial" w:hAnsi="Arial" w:cs="Arial"/>
          <w:b/>
          <w:bCs/>
          <w:sz w:val="24"/>
          <w:szCs w:val="24"/>
        </w:rPr>
        <w:t>Panel Proposal</w:t>
      </w:r>
      <w:r w:rsidR="00EE07A1" w:rsidRPr="00EE07A1">
        <w:rPr>
          <w:rFonts w:ascii="Arial" w:hAnsi="Arial" w:cs="Arial"/>
          <w:b/>
          <w:bCs/>
          <w:sz w:val="24"/>
          <w:szCs w:val="24"/>
        </w:rPr>
        <w:t>:</w:t>
      </w:r>
      <w:r w:rsidR="00EE07A1" w:rsidRPr="00EE07A1">
        <w:rPr>
          <w:rFonts w:ascii="Arial" w:hAnsi="Arial" w:cs="Arial"/>
          <w:sz w:val="24"/>
          <w:szCs w:val="24"/>
        </w:rPr>
        <w:t xml:space="preserve"> </w:t>
      </w:r>
    </w:p>
    <w:p w14:paraId="477F30C9" w14:textId="469B0990" w:rsidR="00D20975" w:rsidRPr="008F1CDD" w:rsidRDefault="00623B8D" w:rsidP="00623B8D">
      <w:pPr>
        <w:spacing w:line="240" w:lineRule="auto"/>
        <w:rPr>
          <w:rFonts w:ascii="Arial" w:hAnsi="Arial" w:cs="Arial"/>
          <w:sz w:val="24"/>
          <w:szCs w:val="24"/>
        </w:rPr>
      </w:pPr>
      <w:r w:rsidRPr="00623B8D">
        <w:rPr>
          <w:rFonts w:ascii="Arial" w:hAnsi="Arial" w:cs="Arial"/>
          <w:sz w:val="24"/>
          <w:szCs w:val="24"/>
        </w:rPr>
        <w:t>Climate change presents a pressing yet deeply multi-faceted challenge for Southeast Asia. As the world’s fourth largest energy consumer, the region faces an urgent need to decarbonise. Between 1990 and 2010, its carbon emissions rose faster than in any other part of the world, while it remains among the most climate-vulnerable regions due to rising sea levels, intensifying weather extremes, and the concentration of populations and industries in low-lying deltaic zones. These physical risks are compounded by persistent social inequalities, corruption, authoritarian governance, and limited accountability, which together shape how environmental harms and adaptation burdens are distributed. This panel explores how vulnerability in Mainland Southeast Asia is relational</w:t>
      </w:r>
      <w:r>
        <w:rPr>
          <w:rFonts w:ascii="Arial" w:hAnsi="Arial" w:cs="Arial"/>
          <w:sz w:val="24"/>
          <w:szCs w:val="24"/>
        </w:rPr>
        <w:t xml:space="preserve">, </w:t>
      </w:r>
      <w:r w:rsidRPr="00623B8D">
        <w:rPr>
          <w:rFonts w:ascii="Arial" w:hAnsi="Arial" w:cs="Arial"/>
          <w:sz w:val="24"/>
          <w:szCs w:val="24"/>
        </w:rPr>
        <w:t>produced through the actions and inactions of those with economic and political power, and borne disproportionately by those without it. Using a political ecology lens, the panel examines how state-led adaptation schemes, energy transitions, and resource governance reproduce uneven development and structural violence. It interrogates how technocratic and market-based solutions to climate change often reinforce rather than reduce inequality, prioritising elite and industrial interests while marginalising rural and peri-urban communities. At the same time, it highlights how affected groups resist, reframe, and negotiate these injustices through everyday practices and collective mobilisation. By bringing these cases together, the panel advances a critical understanding of the intertwined ecological, political, and economic processes shaping climate injustice in the region.</w:t>
      </w:r>
    </w:p>
    <w:p w14:paraId="264DC2E6" w14:textId="0E257A4A" w:rsidR="00E236B3" w:rsidRDefault="00E236B3" w:rsidP="00623B8D">
      <w:pPr>
        <w:spacing w:line="240" w:lineRule="auto"/>
        <w:rPr>
          <w:rFonts w:ascii="Arial" w:hAnsi="Arial" w:cs="Arial"/>
          <w:sz w:val="24"/>
          <w:szCs w:val="24"/>
        </w:rPr>
      </w:pPr>
      <w:r>
        <w:rPr>
          <w:rFonts w:ascii="Arial" w:hAnsi="Arial" w:cs="Arial"/>
          <w:b/>
          <w:bCs/>
          <w:sz w:val="24"/>
          <w:szCs w:val="24"/>
        </w:rPr>
        <w:t>Abstracts:</w:t>
      </w:r>
    </w:p>
    <w:p w14:paraId="5230F737" w14:textId="77777777" w:rsidR="00814454" w:rsidRPr="00814454" w:rsidRDefault="00814454" w:rsidP="00623B8D">
      <w:pPr>
        <w:spacing w:line="240" w:lineRule="auto"/>
        <w:rPr>
          <w:rFonts w:ascii="Arial" w:hAnsi="Arial" w:cs="Arial"/>
          <w:sz w:val="24"/>
          <w:szCs w:val="24"/>
          <w:lang w:val="en-IE"/>
        </w:rPr>
      </w:pPr>
      <w:r w:rsidRPr="00814454">
        <w:rPr>
          <w:rFonts w:ascii="Arial" w:hAnsi="Arial" w:cs="Arial"/>
          <w:b/>
          <w:bCs/>
          <w:sz w:val="24"/>
          <w:szCs w:val="24"/>
          <w:lang w:val="en-IE"/>
        </w:rPr>
        <w:t>Understanding Climate Change Impacts, Adaptation, and Mobility in the Vietnamese Mekong Delta: Introducing a Political Ecology Framework</w:t>
      </w:r>
    </w:p>
    <w:p w14:paraId="3B88DC09" w14:textId="77777777" w:rsidR="00814454" w:rsidRPr="00814454" w:rsidRDefault="00814454" w:rsidP="00623B8D">
      <w:pPr>
        <w:spacing w:line="240" w:lineRule="auto"/>
        <w:rPr>
          <w:rFonts w:ascii="Arial" w:hAnsi="Arial" w:cs="Arial"/>
          <w:i/>
          <w:iCs/>
          <w:sz w:val="24"/>
          <w:szCs w:val="24"/>
          <w:lang w:val="en-IE"/>
        </w:rPr>
      </w:pPr>
      <w:r w:rsidRPr="00814454">
        <w:rPr>
          <w:rFonts w:ascii="Arial" w:hAnsi="Arial" w:cs="Arial"/>
          <w:i/>
          <w:iCs/>
          <w:sz w:val="24"/>
          <w:szCs w:val="24"/>
          <w:lang w:val="en-IE"/>
        </w:rPr>
        <w:t>Mucahid Mustafa Bayrak (National Taiwan Normal University)</w:t>
      </w:r>
    </w:p>
    <w:p w14:paraId="0C6E240F" w14:textId="77777777" w:rsidR="00814454" w:rsidRPr="00814454" w:rsidRDefault="00814454" w:rsidP="00623B8D">
      <w:pPr>
        <w:spacing w:line="240" w:lineRule="auto"/>
        <w:rPr>
          <w:rFonts w:ascii="Arial" w:hAnsi="Arial" w:cs="Arial"/>
          <w:sz w:val="24"/>
          <w:szCs w:val="24"/>
          <w:lang w:val="en-IE"/>
        </w:rPr>
      </w:pPr>
      <w:r w:rsidRPr="00814454">
        <w:rPr>
          <w:rFonts w:ascii="Arial" w:hAnsi="Arial" w:cs="Arial"/>
          <w:sz w:val="24"/>
          <w:szCs w:val="24"/>
          <w:lang w:val="en-IE"/>
        </w:rPr>
        <w:lastRenderedPageBreak/>
        <w:t>The global climate crisis poses serious challenges for coastal and deltaic communities worldwide. Many of these vulnerable communities, already contending with multiple stressors, shocks, and long-standing social inequalities, must find ways to cope and adapt. In many mainstream academic and policy discourses, out-migration, particularly from rural to urban areas, is portrayed either as a failure to adapt or as an adaptation strategy in itself. Against this backdrop, this paper focuses on the Vietnamese Mekong Delta (VMD) and critically examines how climate change, adaptation, and human mobility intersect in the lives of smallholder farmers and migrants. As the drivers of environmental and social change in the VMD are multiple and not all directly linked to climate change, I argue that a meaningful way to understand the impacts of climate change on adaptation and mobility is not to seek simple causal relationships but to embrace complexity. This approach connects the lived experiences of rural and urban households with broader processes of change, including intensified drought, salinization, severe land subsidence, sea-level rise, erosion, rapid urbanization, the COVID-19 pandemic, and transboundary challenges such as upstream hydropower development, illegal mining, and the political economy of agricultural value chains. Dominant discourses on climate change adaptation further shape how Vietnamese smallholders navigate these intertwined challenges. This paper presents a conceptual framework, situated in the context of the Vietnamese Mekong Delta, for analyzing climate change impacts, adaptation, and mobility through a political ecology lens.</w:t>
      </w:r>
    </w:p>
    <w:p w14:paraId="07B81867" w14:textId="77777777" w:rsidR="00814454" w:rsidRDefault="00814454" w:rsidP="00623B8D">
      <w:pPr>
        <w:spacing w:line="240" w:lineRule="auto"/>
        <w:rPr>
          <w:rFonts w:ascii="Arial" w:hAnsi="Arial" w:cs="Arial"/>
          <w:sz w:val="24"/>
          <w:szCs w:val="24"/>
        </w:rPr>
      </w:pPr>
    </w:p>
    <w:p w14:paraId="1E7AE60E" w14:textId="0C18A403" w:rsidR="00814454" w:rsidRPr="00814454" w:rsidRDefault="00814454" w:rsidP="00623B8D">
      <w:pPr>
        <w:spacing w:line="240" w:lineRule="auto"/>
        <w:rPr>
          <w:rFonts w:ascii="Arial" w:eastAsia="Plus Jakarta Sans" w:hAnsi="Arial" w:cs="Arial"/>
          <w:bCs/>
          <w:sz w:val="24"/>
          <w:szCs w:val="24"/>
        </w:rPr>
      </w:pPr>
      <w:r w:rsidRPr="00814454">
        <w:rPr>
          <w:rFonts w:ascii="Arial" w:eastAsia="Plus Jakarta Sans" w:hAnsi="Arial" w:cs="Arial"/>
          <w:b/>
          <w:sz w:val="24"/>
          <w:szCs w:val="24"/>
        </w:rPr>
        <w:t>Livelihoods, community resilience and living with multi-hazards in coastal northern Vietnam</w:t>
      </w:r>
    </w:p>
    <w:p w14:paraId="6BD858B0" w14:textId="62D2F3E8" w:rsidR="00814454" w:rsidRPr="00814454" w:rsidRDefault="00814454" w:rsidP="00623B8D">
      <w:pPr>
        <w:spacing w:line="240" w:lineRule="auto"/>
        <w:rPr>
          <w:rFonts w:ascii="Arial" w:eastAsia="Plus Jakarta Sans" w:hAnsi="Arial" w:cs="Arial"/>
          <w:bCs/>
          <w:i/>
          <w:iCs/>
          <w:sz w:val="24"/>
          <w:szCs w:val="24"/>
        </w:rPr>
      </w:pPr>
      <w:r w:rsidRPr="00814454">
        <w:rPr>
          <w:rFonts w:ascii="Arial" w:eastAsia="Plus Jakarta Sans" w:hAnsi="Arial" w:cs="Arial"/>
          <w:bCs/>
          <w:i/>
          <w:iCs/>
          <w:sz w:val="24"/>
          <w:szCs w:val="24"/>
        </w:rPr>
        <w:t>Christine Bonnin (</w:t>
      </w:r>
      <w:r w:rsidR="003B509C">
        <w:rPr>
          <w:rFonts w:ascii="Arial" w:eastAsia="Plus Jakarta Sans" w:hAnsi="Arial" w:cs="Arial"/>
          <w:bCs/>
          <w:i/>
          <w:iCs/>
          <w:sz w:val="24"/>
          <w:szCs w:val="24"/>
        </w:rPr>
        <w:t>University College Dublin</w:t>
      </w:r>
      <w:r w:rsidRPr="00814454">
        <w:rPr>
          <w:rFonts w:ascii="Arial" w:eastAsia="Plus Jakarta Sans" w:hAnsi="Arial" w:cs="Arial"/>
          <w:bCs/>
          <w:i/>
          <w:iCs/>
          <w:sz w:val="24"/>
          <w:szCs w:val="24"/>
        </w:rPr>
        <w:t>), Quynh Anh Nguyen (</w:t>
      </w:r>
      <w:r w:rsidR="003B509C">
        <w:rPr>
          <w:rFonts w:ascii="Arial" w:eastAsia="Plus Jakarta Sans" w:hAnsi="Arial" w:cs="Arial"/>
          <w:bCs/>
          <w:i/>
          <w:iCs/>
          <w:sz w:val="24"/>
          <w:szCs w:val="24"/>
        </w:rPr>
        <w:t>Vietnam National University</w:t>
      </w:r>
      <w:r w:rsidRPr="00814454">
        <w:rPr>
          <w:rFonts w:ascii="Arial" w:eastAsia="Plus Jakarta Sans" w:hAnsi="Arial" w:cs="Arial"/>
          <w:bCs/>
          <w:i/>
          <w:iCs/>
          <w:sz w:val="24"/>
          <w:szCs w:val="24"/>
        </w:rPr>
        <w:t>), Kim Chi Vu (</w:t>
      </w:r>
      <w:r w:rsidR="003B509C">
        <w:rPr>
          <w:rFonts w:ascii="Arial" w:eastAsia="Plus Jakarta Sans" w:hAnsi="Arial" w:cs="Arial"/>
          <w:bCs/>
          <w:i/>
          <w:iCs/>
          <w:sz w:val="24"/>
          <w:szCs w:val="24"/>
        </w:rPr>
        <w:t>Vietnam National University</w:t>
      </w:r>
      <w:r w:rsidRPr="00814454">
        <w:rPr>
          <w:rFonts w:ascii="Arial" w:eastAsia="Plus Jakarta Sans" w:hAnsi="Arial" w:cs="Arial"/>
          <w:bCs/>
          <w:i/>
          <w:iCs/>
          <w:sz w:val="24"/>
          <w:szCs w:val="24"/>
        </w:rPr>
        <w:t>), Wenmei Bai (</w:t>
      </w:r>
      <w:r w:rsidR="003B509C">
        <w:rPr>
          <w:rFonts w:ascii="Arial" w:eastAsia="Plus Jakarta Sans" w:hAnsi="Arial" w:cs="Arial"/>
          <w:bCs/>
          <w:i/>
          <w:iCs/>
          <w:sz w:val="24"/>
          <w:szCs w:val="24"/>
        </w:rPr>
        <w:t>University College Dublin</w:t>
      </w:r>
      <w:r w:rsidRPr="00814454">
        <w:rPr>
          <w:rFonts w:ascii="Arial" w:eastAsia="Plus Jakarta Sans" w:hAnsi="Arial" w:cs="Arial"/>
          <w:bCs/>
          <w:i/>
          <w:iCs/>
          <w:sz w:val="24"/>
          <w:szCs w:val="24"/>
        </w:rPr>
        <w:t>)</w:t>
      </w:r>
    </w:p>
    <w:p w14:paraId="68B9E301" w14:textId="5A1FA0BE" w:rsidR="00814454" w:rsidRDefault="00814454" w:rsidP="00623B8D">
      <w:pPr>
        <w:spacing w:line="240" w:lineRule="auto"/>
        <w:rPr>
          <w:rFonts w:ascii="Arial" w:eastAsia="Plus Jakarta Sans" w:hAnsi="Arial" w:cs="Arial"/>
          <w:bCs/>
          <w:sz w:val="24"/>
          <w:szCs w:val="24"/>
        </w:rPr>
      </w:pPr>
      <w:r w:rsidRPr="00814454">
        <w:rPr>
          <w:rFonts w:ascii="Arial" w:eastAsia="Plus Jakarta Sans" w:hAnsi="Arial" w:cs="Arial"/>
          <w:bCs/>
          <w:sz w:val="24"/>
          <w:szCs w:val="24"/>
        </w:rPr>
        <w:t>Households and communities in northern Vietnam’s Red River Delta are increasingly living in a context of multi-hazards generated through a combination of interrelated and compounding environmental, socio-economic, and political factors. In agrarian areas, these are significantly disrupting planned harvests and livelihoods practiced for generations and amplifying already-existing vulnerabilities. This paper draws on a case study of Giao An commune, located in Vietnam’s coastal province of Nam Định, to explore how political ecology provides an apt lens for engaging with the complexity of multi-hazards being faced by communities whose livelihoods strongly depend on natural resources. Giao An sits in the buffer zone between Vietnam’s first Ramsar site, Xuân Thủy National Park, and land further inland with fewer environmental protections. The community faces challenges to agriculture and aquaculture as an agrarian coastal province vulnerable to climate change. Increasing soil salinity makes rice farming more difficult and aquaculture faces declining product yield and supply chain issues; additionally, there are planned large-scale heavy industry projects that are predicted to pollute the water supply. Residents rely on community solidarity and the few tools of resistance at their disposal to navigate intensifying environmental vulnerabilities and anticipated social and economic disruption to traditional livelihoods.</w:t>
      </w:r>
    </w:p>
    <w:p w14:paraId="30917426" w14:textId="77777777" w:rsidR="003B509C" w:rsidRDefault="003B509C" w:rsidP="00623B8D">
      <w:pPr>
        <w:spacing w:line="240" w:lineRule="auto"/>
        <w:rPr>
          <w:rFonts w:ascii="Arial" w:eastAsia="Plus Jakarta Sans" w:hAnsi="Arial" w:cs="Arial"/>
          <w:bCs/>
          <w:sz w:val="24"/>
          <w:szCs w:val="24"/>
        </w:rPr>
      </w:pPr>
    </w:p>
    <w:p w14:paraId="6EBF8102" w14:textId="77777777" w:rsidR="00B02B13" w:rsidRPr="00B02B13" w:rsidRDefault="00B02B13" w:rsidP="00623B8D">
      <w:pPr>
        <w:spacing w:line="240" w:lineRule="auto"/>
        <w:rPr>
          <w:rFonts w:ascii="Arial" w:eastAsia="Plus Jakarta Sans" w:hAnsi="Arial" w:cs="Arial"/>
          <w:b/>
          <w:sz w:val="24"/>
          <w:szCs w:val="24"/>
        </w:rPr>
      </w:pPr>
      <w:r w:rsidRPr="00B02B13">
        <w:rPr>
          <w:rFonts w:ascii="Arial" w:eastAsia="Plus Jakarta Sans" w:hAnsi="Arial" w:cs="Arial"/>
          <w:b/>
          <w:sz w:val="24"/>
          <w:szCs w:val="24"/>
        </w:rPr>
        <w:t>Engineering Floods: Reclaiming Justice through Knowledge Contestation</w:t>
      </w:r>
    </w:p>
    <w:p w14:paraId="3FC9DC3B" w14:textId="11856924" w:rsidR="003B509C" w:rsidRDefault="00B02B13" w:rsidP="00623B8D">
      <w:pPr>
        <w:spacing w:line="240" w:lineRule="auto"/>
        <w:rPr>
          <w:rFonts w:ascii="Arial" w:eastAsia="Plus Jakarta Sans" w:hAnsi="Arial" w:cs="Arial"/>
          <w:bCs/>
          <w:sz w:val="24"/>
          <w:szCs w:val="24"/>
        </w:rPr>
      </w:pPr>
      <w:r w:rsidRPr="00B02B13">
        <w:rPr>
          <w:rFonts w:ascii="Arial" w:eastAsia="Plus Jakarta Sans" w:hAnsi="Arial" w:cs="Arial"/>
          <w:bCs/>
          <w:i/>
          <w:iCs/>
          <w:sz w:val="24"/>
          <w:szCs w:val="24"/>
        </w:rPr>
        <w:lastRenderedPageBreak/>
        <w:t>Sauvanithi Yupho (Rutgers University)</w:t>
      </w:r>
    </w:p>
    <w:p w14:paraId="21BA48BD" w14:textId="20268442" w:rsidR="00B02B13" w:rsidRDefault="008727AF" w:rsidP="00623B8D">
      <w:pPr>
        <w:spacing w:line="240" w:lineRule="auto"/>
        <w:rPr>
          <w:rFonts w:ascii="Arial" w:eastAsia="Plus Jakarta Sans" w:hAnsi="Arial" w:cs="Arial"/>
          <w:bCs/>
          <w:sz w:val="24"/>
          <w:szCs w:val="24"/>
        </w:rPr>
      </w:pPr>
      <w:r w:rsidRPr="008727AF">
        <w:rPr>
          <w:rFonts w:ascii="Arial" w:eastAsia="Plus Jakarta Sans" w:hAnsi="Arial" w:cs="Arial"/>
          <w:bCs/>
          <w:sz w:val="24"/>
          <w:szCs w:val="24"/>
        </w:rPr>
        <w:t>Urban and riverine floods are becoming increasingly disruptive in low-lying deltaic regions, where climate change and rapid urbanisation converge to heighten flood risk. Southeast Asia accounts for a large share of global flood-related economic losses, and governments in the region continue to prioritise flood control infrastructure as a key mitigation strategy. In Thailand, this includes “hard” interventions such as dykes, sluice gates, and embankments, and “soft” measures such as flood diversion, which channels water toward less economically valued areas to protect urban and industrial zones. While framed as necessary climate adaptation, these strategies are inherently unjust. Environmental injustice is often associated with communities that are socioeconomically marginalised, lack land tenure, or have weak social networks, yet dominant environmental justice frameworks—</w:t>
      </w:r>
      <w:r>
        <w:rPr>
          <w:rFonts w:ascii="Arial" w:eastAsia="Plus Jakarta Sans" w:hAnsi="Arial" w:cs="Arial"/>
          <w:bCs/>
          <w:sz w:val="24"/>
          <w:szCs w:val="24"/>
        </w:rPr>
        <w:t xml:space="preserve">rooted in </w:t>
      </w:r>
      <w:r w:rsidRPr="008727AF">
        <w:rPr>
          <w:rFonts w:ascii="Arial" w:eastAsia="Plus Jakarta Sans" w:hAnsi="Arial" w:cs="Arial"/>
          <w:bCs/>
          <w:sz w:val="24"/>
          <w:szCs w:val="24"/>
        </w:rPr>
        <w:t>recognition, distribution, and participation—are difficult to apply within hierarchical planning regimes that exclude such dimensions from governance. Riverside communities in Ayutthaya, Thailand, complicate these assumptions. They have long histories of living with floods, possess property and citizenship rights, and maintain strong social networks, offering a critical intervention into environmental justice scholarship. Despite these legitimate claims, the state deliberately diverts and contains floodwater within these communities for up to four months at depths of four to five metres. This practice constitutes structural violence that imposes recurring burdens on residents and disregards their rights in favour of national economic priorities. This paper examines why the state continues to perpetrate such injustice and how communities contest and mobilise to reclaim environmental justice within a technocratic flood governance regime.</w:t>
      </w:r>
    </w:p>
    <w:p w14:paraId="7A59E5AD" w14:textId="77777777" w:rsidR="008727AF" w:rsidRDefault="008727AF" w:rsidP="00623B8D">
      <w:pPr>
        <w:spacing w:line="240" w:lineRule="auto"/>
        <w:rPr>
          <w:rFonts w:ascii="Arial" w:eastAsia="Plus Jakarta Sans" w:hAnsi="Arial" w:cs="Arial"/>
          <w:bCs/>
          <w:sz w:val="24"/>
          <w:szCs w:val="24"/>
        </w:rPr>
      </w:pPr>
    </w:p>
    <w:p w14:paraId="76F1A0ED" w14:textId="20BBAD0E" w:rsidR="008727AF" w:rsidRPr="008727AF" w:rsidRDefault="008727AF" w:rsidP="00623B8D">
      <w:pPr>
        <w:spacing w:line="240" w:lineRule="auto"/>
        <w:rPr>
          <w:rFonts w:ascii="Arial" w:eastAsia="Plus Jakarta Sans" w:hAnsi="Arial" w:cs="Arial"/>
          <w:b/>
          <w:sz w:val="24"/>
          <w:szCs w:val="24"/>
        </w:rPr>
      </w:pPr>
      <w:r w:rsidRPr="008727AF">
        <w:rPr>
          <w:rFonts w:ascii="Arial" w:eastAsia="Plus Jakarta Sans" w:hAnsi="Arial" w:cs="Arial"/>
          <w:b/>
          <w:sz w:val="24"/>
          <w:szCs w:val="24"/>
        </w:rPr>
        <w:t>Renewables for the Few: Hegemonic Power and the Political Ecology of Thailand’s Stalled and Unjust Energy Transition</w:t>
      </w:r>
    </w:p>
    <w:p w14:paraId="539A6D00" w14:textId="0115E50E" w:rsidR="008727AF" w:rsidRPr="008727AF" w:rsidRDefault="008727AF" w:rsidP="00623B8D">
      <w:pPr>
        <w:spacing w:line="240" w:lineRule="auto"/>
        <w:rPr>
          <w:rFonts w:ascii="Arial" w:eastAsia="Plus Jakarta Sans" w:hAnsi="Arial" w:cs="Arial"/>
          <w:bCs/>
          <w:sz w:val="24"/>
          <w:szCs w:val="24"/>
        </w:rPr>
      </w:pPr>
      <w:r>
        <w:rPr>
          <w:rFonts w:ascii="Arial" w:eastAsia="Plus Jakarta Sans" w:hAnsi="Arial" w:cs="Arial"/>
          <w:bCs/>
          <w:i/>
          <w:iCs/>
          <w:sz w:val="24"/>
          <w:szCs w:val="24"/>
        </w:rPr>
        <w:t>Danny Marks (Dublin City University)</w:t>
      </w:r>
    </w:p>
    <w:p w14:paraId="0623F72D" w14:textId="34F3301E" w:rsidR="008727AF" w:rsidRPr="00B02B13" w:rsidRDefault="008727AF" w:rsidP="00623B8D">
      <w:pPr>
        <w:spacing w:line="240" w:lineRule="auto"/>
        <w:rPr>
          <w:rFonts w:ascii="Arial" w:eastAsia="Plus Jakarta Sans" w:hAnsi="Arial" w:cs="Arial"/>
          <w:bCs/>
          <w:sz w:val="24"/>
          <w:szCs w:val="24"/>
        </w:rPr>
      </w:pPr>
      <w:r w:rsidRPr="008727AF">
        <w:rPr>
          <w:rFonts w:ascii="Arial" w:eastAsia="Plus Jakarta Sans" w:hAnsi="Arial" w:cs="Arial"/>
          <w:bCs/>
          <w:sz w:val="24"/>
          <w:szCs w:val="24"/>
        </w:rPr>
        <w:t xml:space="preserve">Thailand possesses significant solar potential and faces growing pressure to decarbonise, yet its energy transition has remained slow and unjust. This article investigates the political-economic drivers behind this paradox, arguing that technological or market-based explanations alone are insufficient. Drawing on 16 semi-structured interviews, document analysis, and industry reports, the study applies a political ecology framework informed by Gramscian concepts of hegemony, historical blocs, and trasformismo to examine how power asymmetries shape Thailand’s energy system. Findings show that Thailand’s energy governance is dominated by a historical bloc of corporations, state-owned enterprises, military actors, and political elites who sustain the status quo through material, institutional, and discursive power. This hegemony manifests in three key ways: first, regulatory capture and conflicts of interest have produced opaque decision-making processes, exemplified by the Power Development Plan’s overcapacity projections and continued prioritisation of fossil fuels; second, centralised planning has sidelined decentralised solar and wind while expanding hydropower imports from Laos, externalising social and environmental harms; and third, incumbents deploy discourses framing gas and hydropower as clean and essential for energy security to marginalise alternatives and silence dissent. These dynamics have created systematic injustices across procedural, distributional, and recognition dimensions, </w:t>
      </w:r>
      <w:r w:rsidRPr="008727AF">
        <w:rPr>
          <w:rFonts w:ascii="Arial" w:eastAsia="Plus Jakarta Sans" w:hAnsi="Arial" w:cs="Arial"/>
          <w:bCs/>
          <w:sz w:val="24"/>
          <w:szCs w:val="24"/>
        </w:rPr>
        <w:lastRenderedPageBreak/>
        <w:t>concentrating benefits among elites while imposing costs on consumers and vulnerable communities. By integrating political ecology, energy justice, and Gramscian analysis, this study demonstrates how entrenched power structures can stall low-carbon transitions, offering lessons for achieving more just and politically feasible energy transformations in similar contexts.</w:t>
      </w:r>
    </w:p>
    <w:p w14:paraId="33153802" w14:textId="49BEE0BB" w:rsidR="00814454" w:rsidRDefault="00814454" w:rsidP="00623B8D">
      <w:pPr>
        <w:spacing w:line="240" w:lineRule="auto"/>
        <w:rPr>
          <w:rFonts w:ascii="Arial" w:eastAsia="Plus Jakarta Sans" w:hAnsi="Arial" w:cs="Arial"/>
          <w:bCs/>
          <w:sz w:val="24"/>
          <w:szCs w:val="24"/>
        </w:rPr>
      </w:pPr>
      <w:r>
        <w:rPr>
          <w:rFonts w:ascii="Arial" w:eastAsia="Plus Jakarta Sans" w:hAnsi="Arial" w:cs="Arial"/>
          <w:bCs/>
          <w:sz w:val="24"/>
          <w:szCs w:val="24"/>
        </w:rPr>
        <w:br/>
      </w:r>
    </w:p>
    <w:sectPr w:rsidR="00814454">
      <w:footerReference w:type="even" r:id="rId6"/>
      <w:footerReference w:type="default" r:id="rId7"/>
      <w:foot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401DF" w14:textId="77777777" w:rsidR="00AC7217" w:rsidRDefault="00AC7217" w:rsidP="00AC7217">
      <w:pPr>
        <w:spacing w:after="0" w:line="240" w:lineRule="auto"/>
      </w:pPr>
      <w:r>
        <w:separator/>
      </w:r>
    </w:p>
  </w:endnote>
  <w:endnote w:type="continuationSeparator" w:id="0">
    <w:p w14:paraId="64749D3E" w14:textId="77777777" w:rsidR="00AC7217" w:rsidRDefault="00AC7217" w:rsidP="00AC7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lus Jakarta San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9DECA" w14:textId="65884A36" w:rsidR="00AC7217" w:rsidRDefault="00AC7217">
    <w:pPr>
      <w:pStyle w:val="Footer"/>
    </w:pPr>
    <w:r>
      <w:rPr>
        <w:noProof/>
      </w:rPr>
      <mc:AlternateContent>
        <mc:Choice Requires="wps">
          <w:drawing>
            <wp:anchor distT="0" distB="0" distL="0" distR="0" simplePos="0" relativeHeight="251659264" behindDoc="0" locked="0" layoutInCell="1" allowOverlap="1" wp14:anchorId="3893E823" wp14:editId="56D11605">
              <wp:simplePos x="635" y="635"/>
              <wp:positionH relativeFrom="page">
                <wp:align>left</wp:align>
              </wp:positionH>
              <wp:positionV relativeFrom="page">
                <wp:align>bottom</wp:align>
              </wp:positionV>
              <wp:extent cx="1814830" cy="357505"/>
              <wp:effectExtent l="0" t="0" r="13970" b="0"/>
              <wp:wrapNone/>
              <wp:docPr id="1990996205" name="Text Box 2"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57505"/>
                      </a:xfrm>
                      <a:prstGeom prst="rect">
                        <a:avLst/>
                      </a:prstGeom>
                      <a:noFill/>
                      <a:ln>
                        <a:noFill/>
                      </a:ln>
                    </wps:spPr>
                    <wps:txbx>
                      <w:txbxContent>
                        <w:p w14:paraId="41F93CD9" w14:textId="11A03610" w:rsidR="00AC7217" w:rsidRPr="00AC7217" w:rsidRDefault="00AC7217" w:rsidP="00AC7217">
                          <w:pPr>
                            <w:spacing w:after="0"/>
                            <w:rPr>
                              <w:rFonts w:ascii="Aptos" w:eastAsia="Aptos" w:hAnsi="Aptos" w:cs="Aptos"/>
                              <w:noProof/>
                              <w:color w:val="000000"/>
                              <w:sz w:val="20"/>
                              <w:szCs w:val="20"/>
                            </w:rPr>
                          </w:pPr>
                          <w:r w:rsidRPr="00AC7217">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93E823" id="_x0000_t202" coordsize="21600,21600" o:spt="202" path="m,l,21600r21600,l21600,xe">
              <v:stroke joinstyle="miter"/>
              <v:path gradientshapeok="t" o:connecttype="rect"/>
            </v:shapetype>
            <v:shape id="Text Box 2" o:spid="_x0000_s1026" type="#_x0000_t202" alt="Classified as Internal | Intern" style="position:absolute;margin-left:0;margin-top:0;width:142.9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" filled="f" stroked="f">
              <v:fill o:detectmouseclick="t"/>
              <v:textbox style="mso-fit-shape-to-text:t" inset="20pt,0,0,15pt">
                <w:txbxContent>
                  <w:p w14:paraId="41F93CD9" w14:textId="11A03610" w:rsidR="00AC7217" w:rsidRPr="00AC7217" w:rsidRDefault="00AC7217" w:rsidP="00AC7217">
                    <w:pPr>
                      <w:spacing w:after="0"/>
                      <w:rPr>
                        <w:rFonts w:ascii="Aptos" w:eastAsia="Aptos" w:hAnsi="Aptos" w:cs="Aptos"/>
                        <w:noProof/>
                        <w:color w:val="000000"/>
                        <w:sz w:val="20"/>
                        <w:szCs w:val="20"/>
                      </w:rPr>
                    </w:pPr>
                    <w:r w:rsidRPr="00AC7217">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5E818" w14:textId="67F7F9E3" w:rsidR="00AC7217" w:rsidRDefault="00AC7217">
    <w:pPr>
      <w:pStyle w:val="Footer"/>
    </w:pPr>
    <w:r>
      <w:rPr>
        <w:noProof/>
      </w:rPr>
      <mc:AlternateContent>
        <mc:Choice Requires="wps">
          <w:drawing>
            <wp:anchor distT="0" distB="0" distL="0" distR="0" simplePos="0" relativeHeight="251660288" behindDoc="0" locked="0" layoutInCell="1" allowOverlap="1" wp14:anchorId="2F3A68E2" wp14:editId="3C6725E4">
              <wp:simplePos x="914400" y="10073640"/>
              <wp:positionH relativeFrom="page">
                <wp:align>left</wp:align>
              </wp:positionH>
              <wp:positionV relativeFrom="page">
                <wp:align>bottom</wp:align>
              </wp:positionV>
              <wp:extent cx="1814830" cy="357505"/>
              <wp:effectExtent l="0" t="0" r="13970" b="0"/>
              <wp:wrapNone/>
              <wp:docPr id="1784305486" name="Text Box 3"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57505"/>
                      </a:xfrm>
                      <a:prstGeom prst="rect">
                        <a:avLst/>
                      </a:prstGeom>
                      <a:noFill/>
                      <a:ln>
                        <a:noFill/>
                      </a:ln>
                    </wps:spPr>
                    <wps:txbx>
                      <w:txbxContent>
                        <w:p w14:paraId="5A8A0698" w14:textId="7C2BDD84" w:rsidR="00AC7217" w:rsidRPr="00AC7217" w:rsidRDefault="00AC7217" w:rsidP="00AC7217">
                          <w:pPr>
                            <w:spacing w:after="0"/>
                            <w:rPr>
                              <w:rFonts w:ascii="Aptos" w:eastAsia="Aptos" w:hAnsi="Aptos" w:cs="Aptos"/>
                              <w:noProof/>
                              <w:color w:val="000000"/>
                              <w:sz w:val="20"/>
                              <w:szCs w:val="20"/>
                            </w:rPr>
                          </w:pPr>
                          <w:r w:rsidRPr="00AC7217">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3A68E2" id="_x0000_t202" coordsize="21600,21600" o:spt="202" path="m,l,21600r21600,l21600,xe">
              <v:stroke joinstyle="miter"/>
              <v:path gradientshapeok="t" o:connecttype="rect"/>
            </v:shapetype>
            <v:shape id="Text Box 3" o:spid="_x0000_s1027" type="#_x0000_t202" alt="Classified as Internal | Intern" style="position:absolute;margin-left:0;margin-top:0;width:142.9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" filled="f" stroked="f">
              <v:fill o:detectmouseclick="t"/>
              <v:textbox style="mso-fit-shape-to-text:t" inset="20pt,0,0,15pt">
                <w:txbxContent>
                  <w:p w14:paraId="5A8A0698" w14:textId="7C2BDD84" w:rsidR="00AC7217" w:rsidRPr="00AC7217" w:rsidRDefault="00AC7217" w:rsidP="00AC7217">
                    <w:pPr>
                      <w:spacing w:after="0"/>
                      <w:rPr>
                        <w:rFonts w:ascii="Aptos" w:eastAsia="Aptos" w:hAnsi="Aptos" w:cs="Aptos"/>
                        <w:noProof/>
                        <w:color w:val="000000"/>
                        <w:sz w:val="20"/>
                        <w:szCs w:val="20"/>
                      </w:rPr>
                    </w:pPr>
                    <w:r w:rsidRPr="00AC7217">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3681" w14:textId="4B054FB5" w:rsidR="00AC7217" w:rsidRDefault="00AC7217">
    <w:pPr>
      <w:pStyle w:val="Footer"/>
    </w:pPr>
    <w:r>
      <w:rPr>
        <w:noProof/>
      </w:rPr>
      <mc:AlternateContent>
        <mc:Choice Requires="wps">
          <w:drawing>
            <wp:anchor distT="0" distB="0" distL="0" distR="0" simplePos="0" relativeHeight="251658240" behindDoc="0" locked="0" layoutInCell="1" allowOverlap="1" wp14:anchorId="25CFBF41" wp14:editId="42D6EFB6">
              <wp:simplePos x="635" y="635"/>
              <wp:positionH relativeFrom="page">
                <wp:align>left</wp:align>
              </wp:positionH>
              <wp:positionV relativeFrom="page">
                <wp:align>bottom</wp:align>
              </wp:positionV>
              <wp:extent cx="1814830" cy="357505"/>
              <wp:effectExtent l="0" t="0" r="13970" b="0"/>
              <wp:wrapNone/>
              <wp:docPr id="1013042522" name="Text Box 1"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57505"/>
                      </a:xfrm>
                      <a:prstGeom prst="rect">
                        <a:avLst/>
                      </a:prstGeom>
                      <a:noFill/>
                      <a:ln>
                        <a:noFill/>
                      </a:ln>
                    </wps:spPr>
                    <wps:txbx>
                      <w:txbxContent>
                        <w:p w14:paraId="68945D0E" w14:textId="1EC2D9AD" w:rsidR="00AC7217" w:rsidRPr="00AC7217" w:rsidRDefault="00AC7217" w:rsidP="00AC7217">
                          <w:pPr>
                            <w:spacing w:after="0"/>
                            <w:rPr>
                              <w:rFonts w:ascii="Aptos" w:eastAsia="Aptos" w:hAnsi="Aptos" w:cs="Aptos"/>
                              <w:noProof/>
                              <w:color w:val="000000"/>
                              <w:sz w:val="20"/>
                              <w:szCs w:val="20"/>
                            </w:rPr>
                          </w:pPr>
                          <w:r w:rsidRPr="00AC7217">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CFBF41" id="_x0000_t202" coordsize="21600,21600" o:spt="202" path="m,l,21600r21600,l21600,xe">
              <v:stroke joinstyle="miter"/>
              <v:path gradientshapeok="t" o:connecttype="rect"/>
            </v:shapetype>
            <v:shape id="Text Box 1" o:spid="_x0000_s1028" type="#_x0000_t202" alt="Classified as Internal | Intern" style="position:absolute;margin-left:0;margin-top:0;width:142.9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" filled="f" stroked="f">
              <v:fill o:detectmouseclick="t"/>
              <v:textbox style="mso-fit-shape-to-text:t" inset="20pt,0,0,15pt">
                <w:txbxContent>
                  <w:p w14:paraId="68945D0E" w14:textId="1EC2D9AD" w:rsidR="00AC7217" w:rsidRPr="00AC7217" w:rsidRDefault="00AC7217" w:rsidP="00AC7217">
                    <w:pPr>
                      <w:spacing w:after="0"/>
                      <w:rPr>
                        <w:rFonts w:ascii="Aptos" w:eastAsia="Aptos" w:hAnsi="Aptos" w:cs="Aptos"/>
                        <w:noProof/>
                        <w:color w:val="000000"/>
                        <w:sz w:val="20"/>
                        <w:szCs w:val="20"/>
                      </w:rPr>
                    </w:pPr>
                    <w:r w:rsidRPr="00AC7217">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AF855" w14:textId="77777777" w:rsidR="00AC7217" w:rsidRDefault="00AC7217" w:rsidP="00AC7217">
      <w:pPr>
        <w:spacing w:after="0" w:line="240" w:lineRule="auto"/>
      </w:pPr>
      <w:r>
        <w:separator/>
      </w:r>
    </w:p>
  </w:footnote>
  <w:footnote w:type="continuationSeparator" w:id="0">
    <w:p w14:paraId="66C11AB9" w14:textId="77777777" w:rsidR="00AC7217" w:rsidRDefault="00AC7217" w:rsidP="00AC72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A1"/>
    <w:rsid w:val="000135A1"/>
    <w:rsid w:val="00014FB6"/>
    <w:rsid w:val="00016FAD"/>
    <w:rsid w:val="00022796"/>
    <w:rsid w:val="00024763"/>
    <w:rsid w:val="00041808"/>
    <w:rsid w:val="00072230"/>
    <w:rsid w:val="00080C41"/>
    <w:rsid w:val="000D438D"/>
    <w:rsid w:val="000D6CA7"/>
    <w:rsid w:val="000D7A1D"/>
    <w:rsid w:val="000F754C"/>
    <w:rsid w:val="0011314F"/>
    <w:rsid w:val="00113961"/>
    <w:rsid w:val="00120B77"/>
    <w:rsid w:val="00137BDF"/>
    <w:rsid w:val="00166489"/>
    <w:rsid w:val="00174C2D"/>
    <w:rsid w:val="0017585F"/>
    <w:rsid w:val="00180242"/>
    <w:rsid w:val="001B426D"/>
    <w:rsid w:val="001E26EC"/>
    <w:rsid w:val="001E2B86"/>
    <w:rsid w:val="0023355E"/>
    <w:rsid w:val="002532D0"/>
    <w:rsid w:val="00257403"/>
    <w:rsid w:val="0028074D"/>
    <w:rsid w:val="00282AAF"/>
    <w:rsid w:val="002D54E8"/>
    <w:rsid w:val="002D72CE"/>
    <w:rsid w:val="002E2BAE"/>
    <w:rsid w:val="002F161B"/>
    <w:rsid w:val="00311ED6"/>
    <w:rsid w:val="00326B3A"/>
    <w:rsid w:val="003800C2"/>
    <w:rsid w:val="00381A1D"/>
    <w:rsid w:val="003B509C"/>
    <w:rsid w:val="003B6133"/>
    <w:rsid w:val="003D6925"/>
    <w:rsid w:val="003D777D"/>
    <w:rsid w:val="003E2086"/>
    <w:rsid w:val="003F25B3"/>
    <w:rsid w:val="00402D9A"/>
    <w:rsid w:val="00421B8A"/>
    <w:rsid w:val="00451FAC"/>
    <w:rsid w:val="004545C1"/>
    <w:rsid w:val="004C6463"/>
    <w:rsid w:val="004E011C"/>
    <w:rsid w:val="004E7C29"/>
    <w:rsid w:val="004F5F59"/>
    <w:rsid w:val="00546542"/>
    <w:rsid w:val="00557BBD"/>
    <w:rsid w:val="00596D86"/>
    <w:rsid w:val="005B699D"/>
    <w:rsid w:val="005D721C"/>
    <w:rsid w:val="005E1C86"/>
    <w:rsid w:val="00613EC0"/>
    <w:rsid w:val="00616026"/>
    <w:rsid w:val="00617BFF"/>
    <w:rsid w:val="00623B8D"/>
    <w:rsid w:val="00625CFD"/>
    <w:rsid w:val="00641951"/>
    <w:rsid w:val="0066202F"/>
    <w:rsid w:val="006864C1"/>
    <w:rsid w:val="00694651"/>
    <w:rsid w:val="006B090F"/>
    <w:rsid w:val="006F0518"/>
    <w:rsid w:val="00706027"/>
    <w:rsid w:val="0070610E"/>
    <w:rsid w:val="00760298"/>
    <w:rsid w:val="007B0925"/>
    <w:rsid w:val="007B2AD6"/>
    <w:rsid w:val="007B2B64"/>
    <w:rsid w:val="007B3370"/>
    <w:rsid w:val="007B4D0D"/>
    <w:rsid w:val="007C7674"/>
    <w:rsid w:val="007C7801"/>
    <w:rsid w:val="007D43A4"/>
    <w:rsid w:val="007E0270"/>
    <w:rsid w:val="007E21D6"/>
    <w:rsid w:val="00814454"/>
    <w:rsid w:val="00820DF8"/>
    <w:rsid w:val="008660CA"/>
    <w:rsid w:val="008727AF"/>
    <w:rsid w:val="008C59F2"/>
    <w:rsid w:val="008C61E4"/>
    <w:rsid w:val="008D4332"/>
    <w:rsid w:val="008F1CDD"/>
    <w:rsid w:val="009215B9"/>
    <w:rsid w:val="00922855"/>
    <w:rsid w:val="0093782A"/>
    <w:rsid w:val="00954C3C"/>
    <w:rsid w:val="00960DB9"/>
    <w:rsid w:val="009670FB"/>
    <w:rsid w:val="009713F9"/>
    <w:rsid w:val="00991CC4"/>
    <w:rsid w:val="00992413"/>
    <w:rsid w:val="00994BDA"/>
    <w:rsid w:val="0099645D"/>
    <w:rsid w:val="009A3D3C"/>
    <w:rsid w:val="009A3EF7"/>
    <w:rsid w:val="009B552F"/>
    <w:rsid w:val="009F2FB4"/>
    <w:rsid w:val="00A00093"/>
    <w:rsid w:val="00A00AA3"/>
    <w:rsid w:val="00A01532"/>
    <w:rsid w:val="00A11F87"/>
    <w:rsid w:val="00A207CF"/>
    <w:rsid w:val="00A32997"/>
    <w:rsid w:val="00A3618F"/>
    <w:rsid w:val="00A44306"/>
    <w:rsid w:val="00A678B3"/>
    <w:rsid w:val="00A74376"/>
    <w:rsid w:val="00A7576B"/>
    <w:rsid w:val="00AB45F4"/>
    <w:rsid w:val="00AC073B"/>
    <w:rsid w:val="00AC7217"/>
    <w:rsid w:val="00B02B13"/>
    <w:rsid w:val="00B11C02"/>
    <w:rsid w:val="00B30DB5"/>
    <w:rsid w:val="00B543E5"/>
    <w:rsid w:val="00B76900"/>
    <w:rsid w:val="00B953FB"/>
    <w:rsid w:val="00BF6760"/>
    <w:rsid w:val="00C137C0"/>
    <w:rsid w:val="00C21A22"/>
    <w:rsid w:val="00C703D4"/>
    <w:rsid w:val="00C86E32"/>
    <w:rsid w:val="00CA26D2"/>
    <w:rsid w:val="00CD5796"/>
    <w:rsid w:val="00D20975"/>
    <w:rsid w:val="00D20B53"/>
    <w:rsid w:val="00D65B00"/>
    <w:rsid w:val="00D724AA"/>
    <w:rsid w:val="00D73F2F"/>
    <w:rsid w:val="00DB6A62"/>
    <w:rsid w:val="00DD44FB"/>
    <w:rsid w:val="00DE0911"/>
    <w:rsid w:val="00DE6737"/>
    <w:rsid w:val="00E05C75"/>
    <w:rsid w:val="00E22143"/>
    <w:rsid w:val="00E236B3"/>
    <w:rsid w:val="00E337FF"/>
    <w:rsid w:val="00E409F8"/>
    <w:rsid w:val="00E41341"/>
    <w:rsid w:val="00E7349B"/>
    <w:rsid w:val="00EE07A1"/>
    <w:rsid w:val="00F14937"/>
    <w:rsid w:val="00F41D14"/>
    <w:rsid w:val="00F421B7"/>
    <w:rsid w:val="00F553DF"/>
    <w:rsid w:val="00F62B0C"/>
    <w:rsid w:val="00F84824"/>
    <w:rsid w:val="00F84C69"/>
    <w:rsid w:val="00F908AD"/>
    <w:rsid w:val="00FA0AD7"/>
    <w:rsid w:val="00FA6CA9"/>
    <w:rsid w:val="00FC5374"/>
    <w:rsid w:val="00FC5777"/>
    <w:rsid w:val="00FE7BC8"/>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F4591"/>
  <w15:chartTrackingRefBased/>
  <w15:docId w15:val="{E52E4138-475A-4FA9-AD8D-D42284F70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07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07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07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07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07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07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07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07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07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7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07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07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07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07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07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07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07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07A1"/>
    <w:rPr>
      <w:rFonts w:eastAsiaTheme="majorEastAsia" w:cstheme="majorBidi"/>
      <w:color w:val="272727" w:themeColor="text1" w:themeTint="D8"/>
    </w:rPr>
  </w:style>
  <w:style w:type="paragraph" w:styleId="Title">
    <w:name w:val="Title"/>
    <w:basedOn w:val="Normal"/>
    <w:next w:val="Normal"/>
    <w:link w:val="TitleChar"/>
    <w:uiPriority w:val="10"/>
    <w:qFormat/>
    <w:rsid w:val="00EE07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07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07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07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07A1"/>
    <w:pPr>
      <w:spacing w:before="160"/>
      <w:jc w:val="center"/>
    </w:pPr>
    <w:rPr>
      <w:i/>
      <w:iCs/>
      <w:color w:val="404040" w:themeColor="text1" w:themeTint="BF"/>
    </w:rPr>
  </w:style>
  <w:style w:type="character" w:customStyle="1" w:styleId="QuoteChar">
    <w:name w:val="Quote Char"/>
    <w:basedOn w:val="DefaultParagraphFont"/>
    <w:link w:val="Quote"/>
    <w:uiPriority w:val="29"/>
    <w:rsid w:val="00EE07A1"/>
    <w:rPr>
      <w:i/>
      <w:iCs/>
      <w:color w:val="404040" w:themeColor="text1" w:themeTint="BF"/>
    </w:rPr>
  </w:style>
  <w:style w:type="paragraph" w:styleId="ListParagraph">
    <w:name w:val="List Paragraph"/>
    <w:basedOn w:val="Normal"/>
    <w:uiPriority w:val="34"/>
    <w:qFormat/>
    <w:rsid w:val="00EE07A1"/>
    <w:pPr>
      <w:ind w:left="720"/>
      <w:contextualSpacing/>
    </w:pPr>
  </w:style>
  <w:style w:type="character" w:styleId="IntenseEmphasis">
    <w:name w:val="Intense Emphasis"/>
    <w:basedOn w:val="DefaultParagraphFont"/>
    <w:uiPriority w:val="21"/>
    <w:qFormat/>
    <w:rsid w:val="00EE07A1"/>
    <w:rPr>
      <w:i/>
      <w:iCs/>
      <w:color w:val="0F4761" w:themeColor="accent1" w:themeShade="BF"/>
    </w:rPr>
  </w:style>
  <w:style w:type="paragraph" w:styleId="IntenseQuote">
    <w:name w:val="Intense Quote"/>
    <w:basedOn w:val="Normal"/>
    <w:next w:val="Normal"/>
    <w:link w:val="IntenseQuoteChar"/>
    <w:uiPriority w:val="30"/>
    <w:qFormat/>
    <w:rsid w:val="00EE07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07A1"/>
    <w:rPr>
      <w:i/>
      <w:iCs/>
      <w:color w:val="0F4761" w:themeColor="accent1" w:themeShade="BF"/>
    </w:rPr>
  </w:style>
  <w:style w:type="character" w:styleId="IntenseReference">
    <w:name w:val="Intense Reference"/>
    <w:basedOn w:val="DefaultParagraphFont"/>
    <w:uiPriority w:val="32"/>
    <w:qFormat/>
    <w:rsid w:val="00EE07A1"/>
    <w:rPr>
      <w:b/>
      <w:bCs/>
      <w:smallCaps/>
      <w:color w:val="0F4761" w:themeColor="accent1" w:themeShade="BF"/>
      <w:spacing w:val="5"/>
    </w:rPr>
  </w:style>
  <w:style w:type="character" w:styleId="Hyperlink">
    <w:name w:val="Hyperlink"/>
    <w:basedOn w:val="DefaultParagraphFont"/>
    <w:uiPriority w:val="99"/>
    <w:unhideWhenUsed/>
    <w:rsid w:val="00EE07A1"/>
    <w:rPr>
      <w:color w:val="467886" w:themeColor="hyperlink"/>
      <w:u w:val="single"/>
    </w:rPr>
  </w:style>
  <w:style w:type="character" w:styleId="UnresolvedMention">
    <w:name w:val="Unresolved Mention"/>
    <w:basedOn w:val="DefaultParagraphFont"/>
    <w:uiPriority w:val="99"/>
    <w:semiHidden/>
    <w:unhideWhenUsed/>
    <w:rsid w:val="00EE07A1"/>
    <w:rPr>
      <w:color w:val="605E5C"/>
      <w:shd w:val="clear" w:color="auto" w:fill="E1DFDD"/>
    </w:rPr>
  </w:style>
  <w:style w:type="paragraph" w:styleId="Footer">
    <w:name w:val="footer"/>
    <w:basedOn w:val="Normal"/>
    <w:link w:val="FooterChar"/>
    <w:uiPriority w:val="99"/>
    <w:unhideWhenUsed/>
    <w:rsid w:val="00AC72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047578">
      <w:bodyDiv w:val="1"/>
      <w:marLeft w:val="0"/>
      <w:marRight w:val="0"/>
      <w:marTop w:val="0"/>
      <w:marBottom w:val="0"/>
      <w:divBdr>
        <w:top w:val="none" w:sz="0" w:space="0" w:color="auto"/>
        <w:left w:val="none" w:sz="0" w:space="0" w:color="auto"/>
        <w:bottom w:val="none" w:sz="0" w:space="0" w:color="auto"/>
        <w:right w:val="none" w:sz="0" w:space="0" w:color="auto"/>
      </w:divBdr>
    </w:div>
    <w:div w:id="795029093">
      <w:bodyDiv w:val="1"/>
      <w:marLeft w:val="0"/>
      <w:marRight w:val="0"/>
      <w:marTop w:val="0"/>
      <w:marBottom w:val="0"/>
      <w:divBdr>
        <w:top w:val="none" w:sz="0" w:space="0" w:color="auto"/>
        <w:left w:val="none" w:sz="0" w:space="0" w:color="auto"/>
        <w:bottom w:val="none" w:sz="0" w:space="0" w:color="auto"/>
        <w:right w:val="none" w:sz="0" w:space="0" w:color="auto"/>
      </w:divBdr>
    </w:div>
    <w:div w:id="824126682">
      <w:bodyDiv w:val="1"/>
      <w:marLeft w:val="0"/>
      <w:marRight w:val="0"/>
      <w:marTop w:val="0"/>
      <w:marBottom w:val="0"/>
      <w:divBdr>
        <w:top w:val="none" w:sz="0" w:space="0" w:color="auto"/>
        <w:left w:val="none" w:sz="0" w:space="0" w:color="auto"/>
        <w:bottom w:val="none" w:sz="0" w:space="0" w:color="auto"/>
        <w:right w:val="none" w:sz="0" w:space="0" w:color="auto"/>
      </w:divBdr>
    </w:div>
    <w:div w:id="927421131">
      <w:bodyDiv w:val="1"/>
      <w:marLeft w:val="0"/>
      <w:marRight w:val="0"/>
      <w:marTop w:val="0"/>
      <w:marBottom w:val="0"/>
      <w:divBdr>
        <w:top w:val="none" w:sz="0" w:space="0" w:color="auto"/>
        <w:left w:val="none" w:sz="0" w:space="0" w:color="auto"/>
        <w:bottom w:val="none" w:sz="0" w:space="0" w:color="auto"/>
        <w:right w:val="none" w:sz="0" w:space="0" w:color="auto"/>
      </w:divBdr>
    </w:div>
    <w:div w:id="1860780127">
      <w:bodyDiv w:val="1"/>
      <w:marLeft w:val="0"/>
      <w:marRight w:val="0"/>
      <w:marTop w:val="0"/>
      <w:marBottom w:val="0"/>
      <w:divBdr>
        <w:top w:val="none" w:sz="0" w:space="0" w:color="auto"/>
        <w:left w:val="none" w:sz="0" w:space="0" w:color="auto"/>
        <w:bottom w:val="none" w:sz="0" w:space="0" w:color="auto"/>
        <w:right w:val="none" w:sz="0" w:space="0" w:color="auto"/>
      </w:divBdr>
    </w:div>
    <w:div w:id="187657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465f887-04a9-4c17-8b62-103eddccf68b}" enabled="1" method="Standard" siteId="{ca2a7f76-dbd7-4ec0-9108-6b3d524fb7c8}"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1474</Words>
  <Characters>8406</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Ann Miller</dc:creator>
  <cp:keywords/>
  <dc:description/>
  <cp:lastModifiedBy>Siegers, S.R. (Yayah)</cp:lastModifiedBy>
  <cp:revision>2</cp:revision>
  <dcterms:created xsi:type="dcterms:W3CDTF">2025-12-01T23:11:00Z</dcterms:created>
  <dcterms:modified xsi:type="dcterms:W3CDTF">2025-12-01T23:11:00Z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3c61cd5a,76ac30ed,6a5a574e</vt:lpwstr>
  </property>
  <property fmtid="{D5CDD505-2E9C-101B-9397-08002B2CF9AE}" pid="3" name="ClassificationContentMarkingFooterFontProps">
    <vt:lpwstr>#000000,10,Aptos</vt:lpwstr>
  </property>
  <property fmtid="{D5CDD505-2E9C-101B-9397-08002B2CF9AE}" pid="4" name="ClassificationContentMarkingFooterText">
    <vt:lpwstr>Classified as Internal | Intern</vt:lpwstr>
  </property>
</Properties>
</file>