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0ACDB" w14:textId="77777777" w:rsidR="00922A24" w:rsidRDefault="00922A24" w:rsidP="00922A24">
      <w:pPr>
        <w:pStyle w:val="NormalWeb"/>
      </w:pPr>
      <w:r>
        <w:rPr>
          <w:rStyle w:val="Strong"/>
          <w:rFonts w:eastAsiaTheme="majorEastAsia"/>
        </w:rPr>
        <w:t>Panel Proposal</w:t>
      </w:r>
    </w:p>
    <w:p w14:paraId="6A14406C" w14:textId="77777777" w:rsidR="00922A24" w:rsidRDefault="00922A24" w:rsidP="00922A24">
      <w:pPr>
        <w:pStyle w:val="NormalWeb"/>
      </w:pPr>
      <w:r>
        <w:rPr>
          <w:rStyle w:val="Strong"/>
          <w:rFonts w:eastAsiaTheme="majorEastAsia"/>
        </w:rPr>
        <w:t>(1) Title</w:t>
      </w:r>
      <w:r>
        <w:br/>
      </w:r>
      <w:r>
        <w:rPr>
          <w:rStyle w:val="Strong"/>
          <w:rFonts w:eastAsiaTheme="majorEastAsia"/>
        </w:rPr>
        <w:t>The Genealogy and Geography of Scam Centers</w:t>
      </w:r>
    </w:p>
    <w:p w14:paraId="25F85A9C" w14:textId="17C85F55" w:rsidR="00922A24" w:rsidRDefault="00922A24" w:rsidP="00922A24">
      <w:pPr>
        <w:pStyle w:val="NormalWeb"/>
      </w:pPr>
      <w:r>
        <w:rPr>
          <w:rStyle w:val="Strong"/>
          <w:rFonts w:eastAsiaTheme="majorEastAsia"/>
        </w:rPr>
        <w:t>(2) Convener</w:t>
      </w:r>
      <w:r>
        <w:br/>
        <w:t>Masao Imamura, Yamagata University</w:t>
      </w:r>
      <w:r>
        <w:br/>
        <w:t xml:space="preserve">Email: </w:t>
      </w:r>
      <w:hyperlink r:id="rId6" w:history="1">
        <w:r w:rsidRPr="00856ACC">
          <w:rPr>
            <w:rStyle w:val="Hyperlink"/>
          </w:rPr>
          <w:t>imamuramasao@gmail.com</w:t>
        </w:r>
      </w:hyperlink>
      <w:r>
        <w:t xml:space="preserve">, </w:t>
      </w:r>
      <w:hyperlink r:id="rId7" w:history="1">
        <w:r w:rsidRPr="00856ACC">
          <w:rPr>
            <w:rStyle w:val="Hyperlink"/>
          </w:rPr>
          <w:t>imamura@human.kj.yamagata-u.ac.jp</w:t>
        </w:r>
      </w:hyperlink>
    </w:p>
    <w:p w14:paraId="43B8D150" w14:textId="77777777" w:rsidR="00922A24" w:rsidRPr="00922A24" w:rsidRDefault="00922A24" w:rsidP="00922A24">
      <w:pPr>
        <w:pStyle w:val="NormalWeb"/>
      </w:pPr>
      <w:r>
        <w:rPr>
          <w:rStyle w:val="Strong"/>
          <w:rFonts w:eastAsiaTheme="majorEastAsia"/>
        </w:rPr>
        <w:t>(3) Brief description and explanation of the chosen format</w:t>
      </w:r>
      <w:r>
        <w:br/>
        <w:t xml:space="preserve">While scam centers have received growing journalistic and NGO/INGO attention, academic </w:t>
      </w:r>
      <w:r w:rsidRPr="00922A24">
        <w:t xml:space="preserve">research on them remains extremely limited. Given the scale, sophistication, and regional impacts of these illicit economies, there is now an urgent need for </w:t>
      </w:r>
      <w:r w:rsidRPr="00922A24">
        <w:rPr>
          <w:rStyle w:val="Strong"/>
          <w:rFonts w:eastAsiaTheme="majorEastAsia"/>
          <w:b w:val="0"/>
          <w:bCs w:val="0"/>
        </w:rPr>
        <w:t>rigorous, evidence-based scholarly analysis</w:t>
      </w:r>
      <w:r w:rsidRPr="00922A24">
        <w:t xml:space="preserve">. A panel format is appropriate because it brings together researchers working in different national and linguistic contexts to present complementary case studies and develop a </w:t>
      </w:r>
      <w:r w:rsidRPr="00922A24">
        <w:rPr>
          <w:rStyle w:val="Strong"/>
          <w:rFonts w:eastAsiaTheme="majorEastAsia"/>
          <w:b w:val="0"/>
          <w:bCs w:val="0"/>
        </w:rPr>
        <w:t>coherent analytical framework</w:t>
      </w:r>
      <w:r w:rsidRPr="00922A24">
        <w:t>. We anticipate that the papers presented in this panel will form the basis for subsequent collaborative publication.</w:t>
      </w:r>
    </w:p>
    <w:p w14:paraId="2442BE36" w14:textId="4404859A" w:rsidR="00922A24" w:rsidRDefault="00922A24" w:rsidP="00922A24">
      <w:pPr>
        <w:pStyle w:val="NormalWeb"/>
      </w:pPr>
      <w:r>
        <w:rPr>
          <w:rStyle w:val="Strong"/>
          <w:rFonts w:eastAsiaTheme="majorEastAsia"/>
        </w:rPr>
        <w:t>(4) Brief description of panel</w:t>
      </w:r>
      <w:r>
        <w:br/>
        <w:t xml:space="preserve">From the opium economies of the nineteenth century to the triad-linked casino industries of late-twentieth-century Macau and Hong Kong, and further to the scam compounds proliferating today in spaces of weak or negotiated sovereignty in Cambodia and Myanmar, illicit economies in Asia reveal a deep historical and infrastructural continuity. This panel traces how transnational monetary and logistical infrastructures have evolved across the region, with particular emphasis on the emergence of scam compounds as hubs of labor recruitment, coercion, and affective management, tightly integrated with digital communication and financial transfer systems. Rather than isolated criminal enclaves, these compounds operate </w:t>
      </w:r>
      <w:r w:rsidRPr="00922A24">
        <w:rPr>
          <w:b/>
          <w:bCs/>
        </w:rPr>
        <w:t xml:space="preserve">as </w:t>
      </w:r>
      <w:r w:rsidRPr="00922A24">
        <w:rPr>
          <w:rStyle w:val="Strong"/>
          <w:rFonts w:eastAsiaTheme="majorEastAsia"/>
          <w:b w:val="0"/>
          <w:bCs w:val="0"/>
        </w:rPr>
        <w:t>laboratories of territorial and organizational experimentation</w:t>
      </w:r>
      <w:r>
        <w:t>, where labor regimes, jurisdictional loopholes, and enforcement gaps are continually recalibrated.</w:t>
      </w:r>
    </w:p>
    <w:p w14:paraId="2F87D06B" w14:textId="77777777" w:rsidR="00922A24" w:rsidRDefault="00922A24" w:rsidP="00922A24">
      <w:pPr>
        <w:pStyle w:val="NormalWeb"/>
      </w:pPr>
      <w:r>
        <w:t xml:space="preserve">We examine scam centers as </w:t>
      </w:r>
      <w:r w:rsidRPr="00922A24">
        <w:rPr>
          <w:rStyle w:val="Strong"/>
          <w:rFonts w:eastAsiaTheme="majorEastAsia"/>
          <w:b w:val="0"/>
          <w:bCs w:val="0"/>
        </w:rPr>
        <w:t>semi-sovereign infrastructures of financial governance</w:t>
      </w:r>
      <w:r w:rsidRPr="00922A24">
        <w:rPr>
          <w:b/>
          <w:bCs/>
        </w:rPr>
        <w:t>,</w:t>
      </w:r>
      <w:r>
        <w:t xml:space="preserve"> where criminal syndicates, private capital, armed groups, and state officials negotiate authority, taxation, security, and labor. These enclaves serve as nodal points linking frontier spaces to broader financial and logistical networks, enabling illicit revenue to be generated, laundered, circulated, and reinvested across borders. Situating these sites within a genealogy that extends from opium to casinos to underground banking, the panel rethinks how illicitness, violence, and accumulation are co-produced through </w:t>
      </w:r>
      <w:r w:rsidRPr="00922A24">
        <w:t xml:space="preserve">the </w:t>
      </w:r>
      <w:r w:rsidRPr="00922A24">
        <w:rPr>
          <w:rStyle w:val="Strong"/>
          <w:rFonts w:eastAsiaTheme="majorEastAsia"/>
          <w:b w:val="0"/>
          <w:bCs w:val="0"/>
        </w:rPr>
        <w:t>layered geographies of sovereignty, territory, and capital</w:t>
      </w:r>
      <w:r w:rsidRPr="00922A24">
        <w:rPr>
          <w:b/>
          <w:bCs/>
        </w:rPr>
        <w:t xml:space="preserve"> </w:t>
      </w:r>
      <w:r>
        <w:t>in contemporary Southeast Asia.</w:t>
      </w:r>
    </w:p>
    <w:p w14:paraId="0853788F" w14:textId="77777777" w:rsidR="00922A24" w:rsidRDefault="00922A24" w:rsidP="00922A24">
      <w:pPr>
        <w:pStyle w:val="NormalWeb"/>
      </w:pPr>
      <w:r>
        <w:rPr>
          <w:rStyle w:val="Strong"/>
          <w:rFonts w:eastAsiaTheme="majorEastAsia"/>
        </w:rPr>
        <w:t>(5) Session format</w:t>
      </w:r>
      <w:r>
        <w:br/>
        <w:t>Single session (1 × 90 minutes, 3–4 presenters)</w:t>
      </w:r>
    </w:p>
    <w:p w14:paraId="0544B7B5" w14:textId="77777777" w:rsidR="00922A24" w:rsidRDefault="00922A24" w:rsidP="00922A24">
      <w:pPr>
        <w:pStyle w:val="NormalWeb"/>
      </w:pPr>
      <w:r>
        <w:rPr>
          <w:rStyle w:val="Strong"/>
          <w:rFonts w:eastAsiaTheme="majorEastAsia"/>
        </w:rPr>
        <w:t>(6) Discussant</w:t>
      </w:r>
      <w:r>
        <w:br/>
        <w:t>We hope to include one or two discussants and are in the process of confirming.</w:t>
      </w:r>
    </w:p>
    <w:p w14:paraId="7ADA13AC" w14:textId="77777777" w:rsidR="00D353BC" w:rsidRDefault="00D353BC"/>
    <w:sectPr w:rsidR="00D353BC">
      <w:footerReference w:type="even" r:id="rId8"/>
      <w:footerReference w:type="default" r:id="rId9"/>
      <w:footerReference w:type="firs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E8977" w14:textId="77777777" w:rsidR="006A09CE" w:rsidRDefault="006A09CE" w:rsidP="006A09CE">
      <w:pPr>
        <w:spacing w:after="0" w:line="240" w:lineRule="auto"/>
      </w:pPr>
      <w:r>
        <w:separator/>
      </w:r>
    </w:p>
  </w:endnote>
  <w:endnote w:type="continuationSeparator" w:id="0">
    <w:p w14:paraId="503A7A12" w14:textId="77777777" w:rsidR="006A09CE" w:rsidRDefault="006A09CE" w:rsidP="006A0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BA21" w14:textId="6D63B74A" w:rsidR="006A09CE" w:rsidRDefault="006A09CE">
    <w:pPr>
      <w:pStyle w:val="Footer"/>
    </w:pPr>
    <w:r>
      <w:rPr>
        <w:noProof/>
      </w:rPr>
      <mc:AlternateContent>
        <mc:Choice Requires="wps">
          <w:drawing>
            <wp:anchor distT="0" distB="0" distL="0" distR="0" simplePos="0" relativeHeight="251659264" behindDoc="0" locked="0" layoutInCell="1" allowOverlap="1" wp14:anchorId="257B7C0F" wp14:editId="1DF0AC88">
              <wp:simplePos x="635" y="635"/>
              <wp:positionH relativeFrom="page">
                <wp:align>left</wp:align>
              </wp:positionH>
              <wp:positionV relativeFrom="page">
                <wp:align>bottom</wp:align>
              </wp:positionV>
              <wp:extent cx="1814830" cy="370205"/>
              <wp:effectExtent l="0" t="0" r="13970" b="0"/>
              <wp:wrapNone/>
              <wp:docPr id="1707192010" name="Text Box 2"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307C944F" w14:textId="36526661" w:rsidR="006A09CE" w:rsidRPr="006A09CE" w:rsidRDefault="006A09CE" w:rsidP="006A09CE">
                          <w:pPr>
                            <w:spacing w:after="0"/>
                            <w:rPr>
                              <w:rFonts w:ascii="Aptos" w:eastAsia="Aptos" w:hAnsi="Aptos" w:cs="Aptos"/>
                              <w:noProof/>
                              <w:color w:val="000000"/>
                              <w:sz w:val="20"/>
                              <w:szCs w:val="20"/>
                            </w:rPr>
                          </w:pPr>
                          <w:r w:rsidRPr="006A09C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57B7C0F" id="_x0000_t202" coordsize="21600,21600" o:spt="202" path="m,l,21600r21600,l21600,xe">
              <v:stroke joinstyle="miter"/>
              <v:path gradientshapeok="t" o:connecttype="rect"/>
            </v:shapetype>
            <v:shape id="Text Box 2" o:spid="_x0000_s1026" type="#_x0000_t202" alt="Classified as Internal | Intern" style="position:absolute;margin-left:0;margin-top:0;width:142.9pt;height:29.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" filled="f" stroked="f">
              <v:fill o:detectmouseclick="t"/>
              <v:textbox style="mso-fit-shape-to-text:t" inset="20pt,0,0,15pt">
                <w:txbxContent>
                  <w:p w14:paraId="307C944F" w14:textId="36526661" w:rsidR="006A09CE" w:rsidRPr="006A09CE" w:rsidRDefault="006A09CE" w:rsidP="006A09CE">
                    <w:pPr>
                      <w:spacing w:after="0"/>
                      <w:rPr>
                        <w:rFonts w:ascii="Aptos" w:eastAsia="Aptos" w:hAnsi="Aptos" w:cs="Aptos"/>
                        <w:noProof/>
                        <w:color w:val="000000"/>
                        <w:sz w:val="20"/>
                        <w:szCs w:val="20"/>
                      </w:rPr>
                    </w:pPr>
                    <w:r w:rsidRPr="006A09C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5B4D4" w14:textId="679EE2EC" w:rsidR="006A09CE" w:rsidRDefault="006A09CE">
    <w:pPr>
      <w:pStyle w:val="Footer"/>
    </w:pPr>
    <w:r>
      <w:rPr>
        <w:noProof/>
      </w:rPr>
      <mc:AlternateContent>
        <mc:Choice Requires="wps">
          <w:drawing>
            <wp:anchor distT="0" distB="0" distL="0" distR="0" simplePos="0" relativeHeight="251660288" behindDoc="0" locked="0" layoutInCell="1" allowOverlap="1" wp14:anchorId="5574725B" wp14:editId="49EF0C6A">
              <wp:simplePos x="914400" y="9425940"/>
              <wp:positionH relativeFrom="page">
                <wp:align>left</wp:align>
              </wp:positionH>
              <wp:positionV relativeFrom="page">
                <wp:align>bottom</wp:align>
              </wp:positionV>
              <wp:extent cx="1814830" cy="370205"/>
              <wp:effectExtent l="0" t="0" r="13970" b="0"/>
              <wp:wrapNone/>
              <wp:docPr id="940712651" name="Text Box 3"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1B64F134" w14:textId="0A8624B2" w:rsidR="006A09CE" w:rsidRPr="006A09CE" w:rsidRDefault="006A09CE" w:rsidP="006A09CE">
                          <w:pPr>
                            <w:spacing w:after="0"/>
                            <w:rPr>
                              <w:rFonts w:ascii="Aptos" w:eastAsia="Aptos" w:hAnsi="Aptos" w:cs="Aptos"/>
                              <w:noProof/>
                              <w:color w:val="000000"/>
                              <w:sz w:val="20"/>
                              <w:szCs w:val="20"/>
                            </w:rPr>
                          </w:pPr>
                          <w:r w:rsidRPr="006A09C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574725B" id="_x0000_t202" coordsize="21600,21600" o:spt="202" path="m,l,21600r21600,l21600,xe">
              <v:stroke joinstyle="miter"/>
              <v:path gradientshapeok="t" o:connecttype="rect"/>
            </v:shapetype>
            <v:shape id="Text Box 3" o:spid="_x0000_s1027" type="#_x0000_t202" alt="Classified as Internal | Intern" style="position:absolute;margin-left:0;margin-top:0;width:142.9pt;height:29.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" filled="f" stroked="f">
              <v:fill o:detectmouseclick="t"/>
              <v:textbox style="mso-fit-shape-to-text:t" inset="20pt,0,0,15pt">
                <w:txbxContent>
                  <w:p w14:paraId="1B64F134" w14:textId="0A8624B2" w:rsidR="006A09CE" w:rsidRPr="006A09CE" w:rsidRDefault="006A09CE" w:rsidP="006A09CE">
                    <w:pPr>
                      <w:spacing w:after="0"/>
                      <w:rPr>
                        <w:rFonts w:ascii="Aptos" w:eastAsia="Aptos" w:hAnsi="Aptos" w:cs="Aptos"/>
                        <w:noProof/>
                        <w:color w:val="000000"/>
                        <w:sz w:val="20"/>
                        <w:szCs w:val="20"/>
                      </w:rPr>
                    </w:pPr>
                    <w:r w:rsidRPr="006A09C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ED40" w14:textId="009FD37D" w:rsidR="006A09CE" w:rsidRDefault="006A09CE">
    <w:pPr>
      <w:pStyle w:val="Footer"/>
    </w:pPr>
    <w:r>
      <w:rPr>
        <w:noProof/>
      </w:rPr>
      <mc:AlternateContent>
        <mc:Choice Requires="wps">
          <w:drawing>
            <wp:anchor distT="0" distB="0" distL="0" distR="0" simplePos="0" relativeHeight="251658240" behindDoc="0" locked="0" layoutInCell="1" allowOverlap="1" wp14:anchorId="0E811E95" wp14:editId="433253EA">
              <wp:simplePos x="635" y="635"/>
              <wp:positionH relativeFrom="page">
                <wp:align>left</wp:align>
              </wp:positionH>
              <wp:positionV relativeFrom="page">
                <wp:align>bottom</wp:align>
              </wp:positionV>
              <wp:extent cx="1814830" cy="370205"/>
              <wp:effectExtent l="0" t="0" r="13970" b="0"/>
              <wp:wrapNone/>
              <wp:docPr id="749464581" name="Text Box 1" descr="Classified as Internal | 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814830" cy="370205"/>
                      </a:xfrm>
                      <a:prstGeom prst="rect">
                        <a:avLst/>
                      </a:prstGeom>
                      <a:noFill/>
                      <a:ln>
                        <a:noFill/>
                      </a:ln>
                    </wps:spPr>
                    <wps:txbx>
                      <w:txbxContent>
                        <w:p w14:paraId="263294B4" w14:textId="7D7F9700" w:rsidR="006A09CE" w:rsidRPr="006A09CE" w:rsidRDefault="006A09CE" w:rsidP="006A09CE">
                          <w:pPr>
                            <w:spacing w:after="0"/>
                            <w:rPr>
                              <w:rFonts w:ascii="Aptos" w:eastAsia="Aptos" w:hAnsi="Aptos" w:cs="Aptos"/>
                              <w:noProof/>
                              <w:color w:val="000000"/>
                              <w:sz w:val="20"/>
                              <w:szCs w:val="20"/>
                            </w:rPr>
                          </w:pPr>
                          <w:r w:rsidRPr="006A09CE">
                            <w:rPr>
                              <w:rFonts w:ascii="Aptos" w:eastAsia="Aptos" w:hAnsi="Aptos" w:cs="Aptos"/>
                              <w:noProof/>
                              <w:color w:val="000000"/>
                              <w:sz w:val="20"/>
                              <w:szCs w:val="20"/>
                            </w:rPr>
                            <w:t>Classified as Internal | 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811E95" id="_x0000_t202" coordsize="21600,21600" o:spt="202" path="m,l,21600r21600,l21600,xe">
              <v:stroke joinstyle="miter"/>
              <v:path gradientshapeok="t" o:connecttype="rect"/>
            </v:shapetype>
            <v:shape id="Text Box 1" o:spid="_x0000_s1028" type="#_x0000_t202" alt="Classified as Internal | Intern" style="position:absolute;margin-left:0;margin-top:0;width:142.9pt;height:29.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" filled="f" stroked="f">
              <v:fill o:detectmouseclick="t"/>
              <v:textbox style="mso-fit-shape-to-text:t" inset="20pt,0,0,15pt">
                <w:txbxContent>
                  <w:p w14:paraId="263294B4" w14:textId="7D7F9700" w:rsidR="006A09CE" w:rsidRPr="006A09CE" w:rsidRDefault="006A09CE" w:rsidP="006A09CE">
                    <w:pPr>
                      <w:spacing w:after="0"/>
                      <w:rPr>
                        <w:rFonts w:ascii="Aptos" w:eastAsia="Aptos" w:hAnsi="Aptos" w:cs="Aptos"/>
                        <w:noProof/>
                        <w:color w:val="000000"/>
                        <w:sz w:val="20"/>
                        <w:szCs w:val="20"/>
                      </w:rPr>
                    </w:pPr>
                    <w:r w:rsidRPr="006A09CE">
                      <w:rPr>
                        <w:rFonts w:ascii="Aptos" w:eastAsia="Aptos" w:hAnsi="Aptos" w:cs="Aptos"/>
                        <w:noProof/>
                        <w:color w:val="000000"/>
                        <w:sz w:val="20"/>
                        <w:szCs w:val="20"/>
                      </w:rPr>
                      <w:t>Classified as Internal | Intern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CFAFD" w14:textId="77777777" w:rsidR="006A09CE" w:rsidRDefault="006A09CE" w:rsidP="006A09CE">
      <w:pPr>
        <w:spacing w:after="0" w:line="240" w:lineRule="auto"/>
      </w:pPr>
      <w:r>
        <w:separator/>
      </w:r>
    </w:p>
  </w:footnote>
  <w:footnote w:type="continuationSeparator" w:id="0">
    <w:p w14:paraId="7028229D" w14:textId="77777777" w:rsidR="006A09CE" w:rsidRDefault="006A09CE" w:rsidP="006A09C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A24"/>
    <w:rsid w:val="00045DC8"/>
    <w:rsid w:val="0016388F"/>
    <w:rsid w:val="003F655F"/>
    <w:rsid w:val="005258EF"/>
    <w:rsid w:val="006A09CE"/>
    <w:rsid w:val="008738B3"/>
    <w:rsid w:val="0089085E"/>
    <w:rsid w:val="00922A24"/>
    <w:rsid w:val="00D353BC"/>
    <w:rsid w:val="00E63014"/>
    <w:rsid w:val="00F57A0E"/>
  </w:rsids>
  <m:mathPr>
    <m:mathFont m:val="Cambria Math"/>
    <m:brkBin m:val="before"/>
    <m:brkBinSub m:val="--"/>
    <m:smallFrac m:val="0"/>
    <m:dispDef/>
    <m:lMargin m:val="0"/>
    <m:rMargin m:val="0"/>
    <m:defJc m:val="centerGroup"/>
    <m:wrapIndent m:val="1440"/>
    <m:intLim m:val="subSup"/>
    <m:naryLim m:val="undOvr"/>
  </m:mathPr>
  <w:themeFontLan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CAA4D"/>
  <w15:chartTrackingRefBased/>
  <w15:docId w15:val="{1693EBFB-AA17-CD4F-825B-CC3B2E2A1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922A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2A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2A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2A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2A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2A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2A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2A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2A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A24"/>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922A24"/>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922A24"/>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922A24"/>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922A24"/>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922A2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922A2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922A2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922A2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922A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2A2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922A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2A2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922A24"/>
    <w:pPr>
      <w:spacing w:before="160"/>
      <w:jc w:val="center"/>
    </w:pPr>
    <w:rPr>
      <w:i/>
      <w:iCs/>
      <w:color w:val="404040" w:themeColor="text1" w:themeTint="BF"/>
    </w:rPr>
  </w:style>
  <w:style w:type="character" w:customStyle="1" w:styleId="QuoteChar">
    <w:name w:val="Quote Char"/>
    <w:basedOn w:val="DefaultParagraphFont"/>
    <w:link w:val="Quote"/>
    <w:uiPriority w:val="29"/>
    <w:rsid w:val="00922A24"/>
    <w:rPr>
      <w:i/>
      <w:iCs/>
      <w:color w:val="404040" w:themeColor="text1" w:themeTint="BF"/>
      <w:lang w:val="en-US"/>
    </w:rPr>
  </w:style>
  <w:style w:type="paragraph" w:styleId="ListParagraph">
    <w:name w:val="List Paragraph"/>
    <w:basedOn w:val="Normal"/>
    <w:uiPriority w:val="34"/>
    <w:qFormat/>
    <w:rsid w:val="00922A24"/>
    <w:pPr>
      <w:ind w:left="720"/>
      <w:contextualSpacing/>
    </w:pPr>
  </w:style>
  <w:style w:type="character" w:styleId="IntenseEmphasis">
    <w:name w:val="Intense Emphasis"/>
    <w:basedOn w:val="DefaultParagraphFont"/>
    <w:uiPriority w:val="21"/>
    <w:qFormat/>
    <w:rsid w:val="00922A24"/>
    <w:rPr>
      <w:i/>
      <w:iCs/>
      <w:color w:val="0F4761" w:themeColor="accent1" w:themeShade="BF"/>
    </w:rPr>
  </w:style>
  <w:style w:type="paragraph" w:styleId="IntenseQuote">
    <w:name w:val="Intense Quote"/>
    <w:basedOn w:val="Normal"/>
    <w:next w:val="Normal"/>
    <w:link w:val="IntenseQuoteChar"/>
    <w:uiPriority w:val="30"/>
    <w:qFormat/>
    <w:rsid w:val="00922A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2A24"/>
    <w:rPr>
      <w:i/>
      <w:iCs/>
      <w:color w:val="0F4761" w:themeColor="accent1" w:themeShade="BF"/>
      <w:lang w:val="en-US"/>
    </w:rPr>
  </w:style>
  <w:style w:type="character" w:styleId="IntenseReference">
    <w:name w:val="Intense Reference"/>
    <w:basedOn w:val="DefaultParagraphFont"/>
    <w:uiPriority w:val="32"/>
    <w:qFormat/>
    <w:rsid w:val="00922A24"/>
    <w:rPr>
      <w:b/>
      <w:bCs/>
      <w:smallCaps/>
      <w:color w:val="0F4761" w:themeColor="accent1" w:themeShade="BF"/>
      <w:spacing w:val="5"/>
    </w:rPr>
  </w:style>
  <w:style w:type="paragraph" w:styleId="NormalWeb">
    <w:name w:val="Normal (Web)"/>
    <w:basedOn w:val="Normal"/>
    <w:uiPriority w:val="99"/>
    <w:semiHidden/>
    <w:unhideWhenUsed/>
    <w:rsid w:val="00922A24"/>
    <w:pPr>
      <w:spacing w:before="100" w:beforeAutospacing="1" w:after="100" w:afterAutospacing="1" w:line="240" w:lineRule="auto"/>
    </w:pPr>
    <w:rPr>
      <w:rFonts w:ascii="Times New Roman" w:eastAsia="Times New Roman" w:hAnsi="Times New Roman" w:cs="Times New Roman"/>
      <w:kern w:val="0"/>
      <w:lang/>
      <w14:ligatures w14:val="none"/>
    </w:rPr>
  </w:style>
  <w:style w:type="character" w:styleId="Strong">
    <w:name w:val="Strong"/>
    <w:basedOn w:val="DefaultParagraphFont"/>
    <w:uiPriority w:val="22"/>
    <w:qFormat/>
    <w:rsid w:val="00922A24"/>
    <w:rPr>
      <w:b/>
      <w:bCs/>
    </w:rPr>
  </w:style>
  <w:style w:type="character" w:styleId="Hyperlink">
    <w:name w:val="Hyperlink"/>
    <w:basedOn w:val="DefaultParagraphFont"/>
    <w:uiPriority w:val="99"/>
    <w:unhideWhenUsed/>
    <w:rsid w:val="00922A24"/>
    <w:rPr>
      <w:color w:val="467886" w:themeColor="hyperlink"/>
      <w:u w:val="single"/>
    </w:rPr>
  </w:style>
  <w:style w:type="character" w:styleId="UnresolvedMention">
    <w:name w:val="Unresolved Mention"/>
    <w:basedOn w:val="DefaultParagraphFont"/>
    <w:uiPriority w:val="99"/>
    <w:semiHidden/>
    <w:unhideWhenUsed/>
    <w:rsid w:val="00922A24"/>
    <w:rPr>
      <w:color w:val="605E5C"/>
      <w:shd w:val="clear" w:color="auto" w:fill="E1DFDD"/>
    </w:rPr>
  </w:style>
  <w:style w:type="paragraph" w:styleId="Footer">
    <w:name w:val="footer"/>
    <w:basedOn w:val="Normal"/>
    <w:link w:val="FooterChar"/>
    <w:uiPriority w:val="99"/>
    <w:unhideWhenUsed/>
    <w:rsid w:val="006A09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9C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imamura@human.kj.yamagata-u.ac.j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mamuramasao@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465f887-04a9-4c17-8b62-103eddccf68b}" enabled="1" method="Standard" siteId="{ca2a7f76-dbd7-4ec0-9108-6b3d524fb7c8}"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2322</Characters>
  <Application>Microsoft Office Word</Application>
  <DocSecurity>4</DocSecurity>
  <Lines>19</Lines>
  <Paragraphs>5</Paragraphs>
  <ScaleCrop>false</ScaleCrop>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Masao Imamura</dc:creator>
  <cp:keywords/>
  <dc:description/>
  <cp:lastModifiedBy>Siegers, S.R. (Yayah)</cp:lastModifiedBy>
  <cp:revision>2</cp:revision>
  <cp:lastPrinted>2025-11-09T04:28:00Z</cp:lastPrinted>
  <dcterms:created xsi:type="dcterms:W3CDTF">2025-12-02T09:51:00Z</dcterms:created>
  <dcterms:modified xsi:type="dcterms:W3CDTF">2025-12-02T09:51:00Z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2cabec05,65c1aeca,381222cb</vt:lpwstr>
  </property>
  <property fmtid="{D5CDD505-2E9C-101B-9397-08002B2CF9AE}" pid="3" name="ClassificationContentMarkingFooterFontProps">
    <vt:lpwstr>#000000,10,Aptos</vt:lpwstr>
  </property>
  <property fmtid="{D5CDD505-2E9C-101B-9397-08002B2CF9AE}" pid="4" name="ClassificationContentMarkingFooterText">
    <vt:lpwstr>Classified as Internal | Intern</vt:lpwstr>
  </property>
</Properties>
</file>