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B21CA" w:rsidRDefault="00BC303E">
      <w:pPr>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EuroSEAS 2026 Panel Proposal</w:t>
      </w:r>
    </w:p>
    <w:p w14:paraId="00000002" w14:textId="77777777" w:rsidR="007B21CA" w:rsidRDefault="00BC303E">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00000003" w14:textId="77777777" w:rsidR="007B21CA" w:rsidRDefault="00BC303E">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 Title</w:t>
      </w:r>
    </w:p>
    <w:p w14:paraId="00000004" w14:textId="77777777" w:rsidR="007B21CA" w:rsidRDefault="00BC303E">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00000005" w14:textId="77777777" w:rsidR="007B21CA" w:rsidRDefault="00BC303E">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The Destruction of Palestine is the Destruction of Southeast Asia;</w:t>
      </w:r>
    </w:p>
    <w:p w14:paraId="00000006" w14:textId="77777777" w:rsidR="007B21CA" w:rsidRDefault="00BC303E">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or, Imperial Entanglements in Genocidal Times</w:t>
      </w:r>
    </w:p>
    <w:p w14:paraId="00000007" w14:textId="77777777" w:rsidR="007B21CA" w:rsidRDefault="00BC303E">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00000008" w14:textId="77777777" w:rsidR="007B21CA" w:rsidRDefault="00BC303E">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(2) Convener</w:t>
      </w:r>
    </w:p>
    <w:p w14:paraId="00000009" w14:textId="77777777" w:rsidR="007B21CA" w:rsidRDefault="00BC303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0A" w14:textId="77777777" w:rsidR="007B21CA" w:rsidRDefault="00BC303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Geoffrey Rathgeb Aung</w:t>
      </w:r>
    </w:p>
    <w:p w14:paraId="0000000B" w14:textId="77777777" w:rsidR="007B21CA" w:rsidRDefault="00BC303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University of Vienna, Department of Social and Cultural Anthropology, geoffrey.aung@univie.ac.at</w:t>
      </w:r>
    </w:p>
    <w:p w14:paraId="0000000C" w14:textId="77777777" w:rsidR="007B21CA" w:rsidRDefault="00BC303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0D" w14:textId="77777777" w:rsidR="007B21CA" w:rsidRDefault="00BC303E">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(3) Format</w:t>
      </w:r>
    </w:p>
    <w:p w14:paraId="0000000E" w14:textId="77777777" w:rsidR="007B21CA" w:rsidRDefault="00BC303E">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0000000F" w14:textId="77777777" w:rsidR="007B21CA" w:rsidRDefault="00BC303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We anticipate a double session including a discussant. We are also open to additional participants if the circulation of the panel call garners appropriate interest. </w:t>
      </w:r>
    </w:p>
    <w:p w14:paraId="00000010" w14:textId="77777777" w:rsidR="007B21CA" w:rsidRDefault="00BC303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11" w14:textId="77777777" w:rsidR="007B21CA" w:rsidRDefault="00BC303E">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(4) Panel Description</w:t>
      </w:r>
    </w:p>
    <w:p w14:paraId="00000012" w14:textId="77777777" w:rsidR="007B21CA" w:rsidRDefault="00BC303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13" w14:textId="77777777" w:rsidR="007B21CA" w:rsidRDefault="00BC303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panel traces shared forces of imperial destruction across two places rarely brought together: Palestine and Southeast Asia. Against the backdrop of the genocide in Gaza, the panel shows how understanding Palestine and Southeast Asia’s dual subjugation to the violence of capitalism and empire is necessary for grasping the catastrophes of the present. Fossil empire looms large in the destruction of Palestine (as Andreas Malm argues), where the genocide in Gaza reflects a history of colonization and resou</w:t>
      </w:r>
      <w:r>
        <w:rPr>
          <w:rFonts w:ascii="Times New Roman" w:eastAsia="Times New Roman" w:hAnsi="Times New Roman" w:cs="Times New Roman"/>
          <w:sz w:val="20"/>
          <w:szCs w:val="20"/>
        </w:rPr>
        <w:t>rce extraction that starts in the nineteenth century. Likewise in Burma/Myanmar. There, Britain’s steam-based, hence coal-based, naval dominance powered British conquest and extraction—before Burma’s postcolonial government, like Thailand’s government later, built close relations with Israel as kindred state-building projects engaged in counter-insurgency. Today, Israeli arms exports are central to Israel’s diplomacy in Myanmar and the Philippines, where brutal counter-insurgencies reinforce ruthless author</w:t>
      </w:r>
      <w:r>
        <w:rPr>
          <w:rFonts w:ascii="Times New Roman" w:eastAsia="Times New Roman" w:hAnsi="Times New Roman" w:cs="Times New Roman"/>
          <w:sz w:val="20"/>
          <w:szCs w:val="20"/>
        </w:rPr>
        <w:t>itarian politics. In Myanmar and Laos, Chinese- and US-backed oil, gas, and hydropower projects have become critical revenue sources, driving displacement and dispossession while tying Southeast Asia into imperial formations that are underwriting genocide in Gaza. In the Philippines and Thailand, care-giving, soldiering, and counter-insurgency reflect and rework the history of settler militarism in the US and Palestine. In Israel, Thai agricultural workers have faced considerable danger—not least as hostage</w:t>
      </w:r>
      <w:r>
        <w:rPr>
          <w:rFonts w:ascii="Times New Roman" w:eastAsia="Times New Roman" w:hAnsi="Times New Roman" w:cs="Times New Roman"/>
          <w:sz w:val="20"/>
          <w:szCs w:val="20"/>
        </w:rPr>
        <w:t>s in Gaza—as a vulnerable migrant community imported to displace Palestinian labor. The Rohingya genocide has provoked stark comparisons between Myanmar and Palestine, while activists and militants in Myanmar, West Papua, Mindanao, and Palestine have framed their struggles as interconnected. In an important sense, moreover, Palestine is today’s Vietnam (as Evyn Lê Espiritu Gandhi argues): a spark for international protest and solidarity, grounded in militant commitment to decolonization. This spark reflects</w:t>
      </w:r>
      <w:r>
        <w:rPr>
          <w:rFonts w:ascii="Times New Roman" w:eastAsia="Times New Roman" w:hAnsi="Times New Roman" w:cs="Times New Roman"/>
          <w:sz w:val="20"/>
          <w:szCs w:val="20"/>
        </w:rPr>
        <w:t xml:space="preserve"> a long history of mutual inspiration between the freedom fighters of Palestine and Vietnam. At stake more broadly, even, are the deep historical linkages between the Middle East and Southeast Asia across the Indian Ocean world. </w:t>
      </w:r>
    </w:p>
    <w:p w14:paraId="00000014" w14:textId="77777777" w:rsidR="007B21CA" w:rsidRDefault="00BC303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15" w14:textId="77777777" w:rsidR="007B21CA" w:rsidRDefault="00BC303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These are some of the linkages between Palestine and Southeast Asia that this panel aims to examine. These linkages cover histories and processes related to colonization and resource extraction, state diplomacy, the arms trade, labor relations, settler militarisms, genocides and dispossession, and international solidarity. We also welcome work on other areas of interconnection across empire(s) between Palestine and Southeast Asia. Tracing entangled forms of destruction between these locations, this panel ar</w:t>
      </w:r>
      <w:r>
        <w:rPr>
          <w:rFonts w:ascii="Times New Roman" w:eastAsia="Times New Roman" w:hAnsi="Times New Roman" w:cs="Times New Roman"/>
          <w:sz w:val="20"/>
          <w:szCs w:val="20"/>
        </w:rPr>
        <w:t xml:space="preserve">gues that Palestine and Southeast Asia are subject not to equivalent forces but shared processes, which make for similarities but also differences. Still, shared subjugation suggests the outlines for possible solidarities—in some cases, renewed solidarities—between the peoples of Palestine and Southeast Asia. The destruction of Palestine is the destruction of Southeast Asia. Or as one group of Palestinian freedom fighters put it in 1970, “Vietnam to Palestine: one struggle, many fronts.”  </w:t>
      </w:r>
    </w:p>
    <w:p w14:paraId="00000016" w14:textId="77777777" w:rsidR="007B21CA" w:rsidRDefault="00BC303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w:t>
      </w:r>
    </w:p>
    <w:p w14:paraId="00000017" w14:textId="77777777" w:rsidR="007B21CA" w:rsidRDefault="00BC303E">
      <w:pPr>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Presenters:</w:t>
      </w:r>
    </w:p>
    <w:p w14:paraId="00000018" w14:textId="77777777" w:rsidR="007B21CA" w:rsidRDefault="00BC303E">
      <w:pPr>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 </w:t>
      </w:r>
    </w:p>
    <w:p w14:paraId="00000019" w14:textId="77777777" w:rsidR="007B21CA" w:rsidRDefault="00BC303E">
      <w:pPr>
        <w:numPr>
          <w:ilvl w:val="1"/>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Walid Jumblatt Bin Abdullah (Associate Professor, Nanyang Technological University, </w:t>
      </w:r>
      <w:hyperlink r:id="rId7">
        <w:r w:rsidR="007B21CA">
          <w:rPr>
            <w:rFonts w:ascii="Times New Roman" w:eastAsia="Times New Roman" w:hAnsi="Times New Roman" w:cs="Times New Roman"/>
            <w:color w:val="1155CC"/>
            <w:sz w:val="20"/>
            <w:szCs w:val="20"/>
            <w:u w:val="single"/>
          </w:rPr>
          <w:t>walid@ntu.edu.sg</w:t>
        </w:r>
      </w:hyperlink>
      <w:r>
        <w:rPr>
          <w:rFonts w:ascii="Times New Roman" w:eastAsia="Times New Roman" w:hAnsi="Times New Roman" w:cs="Times New Roman"/>
          <w:sz w:val="20"/>
          <w:szCs w:val="20"/>
        </w:rPr>
        <w:t>)</w:t>
      </w:r>
    </w:p>
    <w:p w14:paraId="0000001A" w14:textId="77777777" w:rsidR="007B21CA" w:rsidRDefault="00BC303E">
      <w:pPr>
        <w:numPr>
          <w:ilvl w:val="1"/>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Geoffrey R. Aung (Postdoctoral University Assistant, University of Vienna, </w:t>
      </w:r>
      <w:hyperlink r:id="rId8">
        <w:r w:rsidR="007B21CA">
          <w:rPr>
            <w:rFonts w:ascii="Times New Roman" w:eastAsia="Times New Roman" w:hAnsi="Times New Roman" w:cs="Times New Roman"/>
            <w:color w:val="1155CC"/>
            <w:sz w:val="20"/>
            <w:szCs w:val="20"/>
            <w:u w:val="single"/>
          </w:rPr>
          <w:t>geoffrey.aung@univie.ac.at</w:t>
        </w:r>
      </w:hyperlink>
      <w:r>
        <w:rPr>
          <w:rFonts w:ascii="Times New Roman" w:eastAsia="Times New Roman" w:hAnsi="Times New Roman" w:cs="Times New Roman"/>
          <w:sz w:val="20"/>
          <w:szCs w:val="20"/>
        </w:rPr>
        <w:t>)</w:t>
      </w:r>
    </w:p>
    <w:p w14:paraId="0000001B" w14:textId="77777777" w:rsidR="007B21CA" w:rsidRDefault="00BC303E">
      <w:pPr>
        <w:numPr>
          <w:ilvl w:val="1"/>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Matan Kaminer (Lecturer in Business and Society, Queen Mary University of London, </w:t>
      </w:r>
      <w:hyperlink r:id="rId9">
        <w:r w:rsidR="007B21CA">
          <w:rPr>
            <w:rFonts w:ascii="Times New Roman" w:eastAsia="Times New Roman" w:hAnsi="Times New Roman" w:cs="Times New Roman"/>
            <w:color w:val="1155CC"/>
            <w:sz w:val="20"/>
            <w:szCs w:val="20"/>
            <w:u w:val="single"/>
          </w:rPr>
          <w:t>m.kaminer@qmul.ac.uk</w:t>
        </w:r>
      </w:hyperlink>
      <w:r>
        <w:rPr>
          <w:rFonts w:ascii="Times New Roman" w:eastAsia="Times New Roman" w:hAnsi="Times New Roman" w:cs="Times New Roman"/>
          <w:sz w:val="20"/>
          <w:szCs w:val="20"/>
        </w:rPr>
        <w:t>)</w:t>
      </w:r>
    </w:p>
    <w:p w14:paraId="0000001C" w14:textId="77777777" w:rsidR="007B21CA" w:rsidRDefault="00BC303E">
      <w:pPr>
        <w:numPr>
          <w:ilvl w:val="1"/>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Muslim Imran (Director, Asia Middle East Center for Research and Dialogue)</w:t>
      </w:r>
    </w:p>
    <w:p w14:paraId="0000001D" w14:textId="77777777" w:rsidR="007B21CA" w:rsidRDefault="00BC303E">
      <w:pPr>
        <w:numPr>
          <w:ilvl w:val="1"/>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Shahar Shoham</w:t>
      </w:r>
      <w:r>
        <w:rPr>
          <w:rFonts w:ascii="Times New Roman" w:eastAsia="Times New Roman" w:hAnsi="Times New Roman" w:cs="Times New Roman"/>
          <w:sz w:val="20"/>
          <w:szCs w:val="20"/>
        </w:rPr>
        <w:t xml:space="preserve"> (Ph.D., Associated Member, </w:t>
      </w:r>
      <w:r>
        <w:rPr>
          <w:rFonts w:ascii="Times New Roman" w:eastAsia="Times New Roman" w:hAnsi="Times New Roman" w:cs="Times New Roman"/>
          <w:sz w:val="20"/>
          <w:szCs w:val="20"/>
          <w:highlight w:val="white"/>
        </w:rPr>
        <w:t>The Berlin Institute for Empirical Integration and Migration Research</w:t>
      </w:r>
      <w:r>
        <w:rPr>
          <w:rFonts w:ascii="Times New Roman" w:eastAsia="Times New Roman" w:hAnsi="Times New Roman" w:cs="Times New Roman"/>
          <w:sz w:val="20"/>
          <w:szCs w:val="20"/>
        </w:rPr>
        <w:t>, Humboldt University of Berlin, dawnshoham@gmail.com)</w:t>
      </w:r>
      <w:r>
        <w:rPr>
          <w:rFonts w:ascii="Times New Roman" w:eastAsia="Times New Roman" w:hAnsi="Times New Roman" w:cs="Times New Roman"/>
          <w:sz w:val="20"/>
          <w:szCs w:val="20"/>
        </w:rPr>
        <w:tab/>
      </w:r>
    </w:p>
    <w:p w14:paraId="0000001E" w14:textId="77777777" w:rsidR="007B21CA" w:rsidRDefault="00BC303E">
      <w:pPr>
        <w:numPr>
          <w:ilvl w:val="1"/>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Areerat Worawongwasu (Ph.D. Candidate, University of Hawaii, aree@hawaii.edu)</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
    <w:p w14:paraId="0000001F" w14:textId="77777777" w:rsidR="007B21CA" w:rsidRDefault="00BC303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20" w14:textId="77777777" w:rsidR="007B21CA" w:rsidRDefault="00BC303E">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(5) Double Session </w:t>
      </w:r>
    </w:p>
    <w:p w14:paraId="00000021" w14:textId="77777777" w:rsidR="007B21CA" w:rsidRDefault="00BC303E">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00000022" w14:textId="77777777" w:rsidR="007B21CA" w:rsidRDefault="00BC303E">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(6) Discussant</w:t>
      </w:r>
    </w:p>
    <w:p w14:paraId="00000023" w14:textId="77777777" w:rsidR="007B21CA" w:rsidRDefault="00BC303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24" w14:textId="77777777" w:rsidR="007B21CA" w:rsidRDefault="00BC303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Salim Tamari, Senior Fellow, Institute for Palestine Studies</w:t>
      </w:r>
    </w:p>
    <w:p w14:paraId="00000025" w14:textId="77777777" w:rsidR="007B21CA" w:rsidRDefault="007B21CA"/>
    <w:sectPr w:rsidR="007B21CA">
      <w:footerReference w:type="even" r:id="rId10"/>
      <w:footerReference w:type="defaul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CA6DA" w14:textId="77777777" w:rsidR="00BC303E" w:rsidRDefault="00BC303E" w:rsidP="00BC303E">
      <w:pPr>
        <w:spacing w:line="240" w:lineRule="auto"/>
      </w:pPr>
      <w:r>
        <w:separator/>
      </w:r>
    </w:p>
  </w:endnote>
  <w:endnote w:type="continuationSeparator" w:id="0">
    <w:p w14:paraId="20726F6F" w14:textId="77777777" w:rsidR="00BC303E" w:rsidRDefault="00BC303E" w:rsidP="00BC30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D0AF2B37-7E4B-42D0-B849-12C4FC3E2795}"/>
  </w:font>
  <w:font w:name="Calibri">
    <w:panose1 w:val="020F0502020204030204"/>
    <w:charset w:val="00"/>
    <w:family w:val="swiss"/>
    <w:pitch w:val="variable"/>
    <w:sig w:usb0="E4002EFF" w:usb1="C200247B" w:usb2="00000009" w:usb3="00000000" w:csb0="000001FF" w:csb1="00000000"/>
    <w:embedRegular r:id="rId2" w:fontKey="{E1A8E830-75B5-4DD1-94EB-F52FFE7743F7}"/>
  </w:font>
  <w:font w:name="Myanmar Text">
    <w:panose1 w:val="020B0502040204020203"/>
    <w:charset w:val="00"/>
    <w:family w:val="swiss"/>
    <w:pitch w:val="variable"/>
    <w:sig w:usb0="80000003" w:usb1="00000000" w:usb2="00000400" w:usb3="00000000" w:csb0="00000001" w:csb1="00000000"/>
    <w:embedRegular r:id="rId3" w:fontKey="{92931D01-0A27-4583-9E0F-D0B3D22D3428}"/>
  </w:font>
  <w:font w:name="Cambria">
    <w:panose1 w:val="02040503050406030204"/>
    <w:charset w:val="00"/>
    <w:family w:val="roman"/>
    <w:pitch w:val="variable"/>
    <w:sig w:usb0="E00006FF" w:usb1="420024FF" w:usb2="02000000" w:usb3="00000000" w:csb0="0000019F" w:csb1="00000000"/>
    <w:embedRegular r:id="rId4" w:fontKey="{BE2D4F7D-326B-4381-8539-6089C49743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30D9C" w14:textId="543CAEB4" w:rsidR="00BC303E" w:rsidRDefault="00BC303E">
    <w:pPr>
      <w:pStyle w:val="Footer"/>
    </w:pPr>
    <w:r>
      <w:rPr>
        <w:noProof/>
      </w:rPr>
      <mc:AlternateContent>
        <mc:Choice Requires="wps">
          <w:drawing>
            <wp:anchor distT="0" distB="0" distL="0" distR="0" simplePos="0" relativeHeight="251659264" behindDoc="0" locked="0" layoutInCell="1" allowOverlap="1" wp14:anchorId="37071944" wp14:editId="7F66FCA8">
              <wp:simplePos x="635" y="635"/>
              <wp:positionH relativeFrom="page">
                <wp:align>left</wp:align>
              </wp:positionH>
              <wp:positionV relativeFrom="page">
                <wp:align>bottom</wp:align>
              </wp:positionV>
              <wp:extent cx="1817370" cy="368935"/>
              <wp:effectExtent l="0" t="0" r="11430" b="0"/>
              <wp:wrapNone/>
              <wp:docPr id="1738781501" name="Text Box 2" descr="Classified as Internal | 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17370" cy="368935"/>
                      </a:xfrm>
                      <a:prstGeom prst="rect">
                        <a:avLst/>
                      </a:prstGeom>
                      <a:noFill/>
                      <a:ln>
                        <a:noFill/>
                      </a:ln>
                    </wps:spPr>
                    <wps:txbx>
                      <w:txbxContent>
                        <w:p w14:paraId="09F28D26" w14:textId="391D9DFB" w:rsidR="00BC303E" w:rsidRPr="00BC303E" w:rsidRDefault="00BC303E" w:rsidP="00BC303E">
                          <w:pPr>
                            <w:rPr>
                              <w:rFonts w:ascii="Aptos" w:eastAsia="Aptos" w:hAnsi="Aptos" w:cs="Aptos"/>
                              <w:noProof/>
                              <w:color w:val="000000"/>
                              <w:sz w:val="20"/>
                              <w:szCs w:val="20"/>
                            </w:rPr>
                          </w:pPr>
                          <w:r w:rsidRPr="00BC303E">
                            <w:rPr>
                              <w:rFonts w:ascii="Aptos" w:eastAsia="Aptos" w:hAnsi="Aptos" w:cs="Aptos"/>
                              <w:noProof/>
                              <w:color w:val="000000"/>
                              <w:sz w:val="20"/>
                              <w:szCs w:val="20"/>
                            </w:rPr>
                            <w:t>Classified as Internal | Intern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7071944" id="_x0000_t202" coordsize="21600,21600" o:spt="202" path="m,l,21600r21600,l21600,xe">
              <v:stroke joinstyle="miter"/>
              <v:path gradientshapeok="t" o:connecttype="rect"/>
            </v:shapetype>
            <v:shape id="Text Box 2" o:spid="_x0000_s1026" type="#_x0000_t202" alt="Classified as Internal | Intern" style="position:absolute;margin-left:0;margin-top:0;width:143.1pt;height:29.0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" filled="f" stroked="f">
              <v:fill o:detectmouseclick="t"/>
              <v:textbox style="mso-fit-shape-to-text:t" inset="20pt,0,0,15pt">
                <w:txbxContent>
                  <w:p w14:paraId="09F28D26" w14:textId="391D9DFB" w:rsidR="00BC303E" w:rsidRPr="00BC303E" w:rsidRDefault="00BC303E" w:rsidP="00BC303E">
                    <w:pPr>
                      <w:rPr>
                        <w:rFonts w:ascii="Aptos" w:eastAsia="Aptos" w:hAnsi="Aptos" w:cs="Aptos"/>
                        <w:noProof/>
                        <w:color w:val="000000"/>
                        <w:sz w:val="20"/>
                        <w:szCs w:val="20"/>
                      </w:rPr>
                    </w:pPr>
                    <w:r w:rsidRPr="00BC303E">
                      <w:rPr>
                        <w:rFonts w:ascii="Aptos" w:eastAsia="Aptos" w:hAnsi="Aptos" w:cs="Aptos"/>
                        <w:noProof/>
                        <w:color w:val="000000"/>
                        <w:sz w:val="20"/>
                        <w:szCs w:val="20"/>
                      </w:rPr>
                      <w:t>Classified as Internal | Intern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87505" w14:textId="34CC7884" w:rsidR="00BC303E" w:rsidRDefault="00BC303E">
    <w:pPr>
      <w:pStyle w:val="Footer"/>
    </w:pPr>
    <w:r>
      <w:rPr>
        <w:noProof/>
      </w:rPr>
      <mc:AlternateContent>
        <mc:Choice Requires="wps">
          <w:drawing>
            <wp:anchor distT="0" distB="0" distL="0" distR="0" simplePos="0" relativeHeight="251660288" behindDoc="0" locked="0" layoutInCell="1" allowOverlap="1" wp14:anchorId="23382BEF" wp14:editId="46FB5DF6">
              <wp:simplePos x="914400" y="9441180"/>
              <wp:positionH relativeFrom="page">
                <wp:align>left</wp:align>
              </wp:positionH>
              <wp:positionV relativeFrom="page">
                <wp:align>bottom</wp:align>
              </wp:positionV>
              <wp:extent cx="1817370" cy="368935"/>
              <wp:effectExtent l="0" t="0" r="11430" b="0"/>
              <wp:wrapNone/>
              <wp:docPr id="395444153" name="Text Box 3" descr="Classified as Internal | 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17370" cy="368935"/>
                      </a:xfrm>
                      <a:prstGeom prst="rect">
                        <a:avLst/>
                      </a:prstGeom>
                      <a:noFill/>
                      <a:ln>
                        <a:noFill/>
                      </a:ln>
                    </wps:spPr>
                    <wps:txbx>
                      <w:txbxContent>
                        <w:p w14:paraId="3797FF0E" w14:textId="5D20872A" w:rsidR="00BC303E" w:rsidRPr="00BC303E" w:rsidRDefault="00BC303E" w:rsidP="00BC303E">
                          <w:pPr>
                            <w:rPr>
                              <w:rFonts w:ascii="Aptos" w:eastAsia="Aptos" w:hAnsi="Aptos" w:cs="Aptos"/>
                              <w:noProof/>
                              <w:color w:val="000000"/>
                              <w:sz w:val="20"/>
                              <w:szCs w:val="20"/>
                            </w:rPr>
                          </w:pPr>
                          <w:r w:rsidRPr="00BC303E">
                            <w:rPr>
                              <w:rFonts w:ascii="Aptos" w:eastAsia="Aptos" w:hAnsi="Aptos" w:cs="Aptos"/>
                              <w:noProof/>
                              <w:color w:val="000000"/>
                              <w:sz w:val="20"/>
                              <w:szCs w:val="20"/>
                            </w:rPr>
                            <w:t>Classified as Internal | Intern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3382BEF" id="_x0000_t202" coordsize="21600,21600" o:spt="202" path="m,l,21600r21600,l21600,xe">
              <v:stroke joinstyle="miter"/>
              <v:path gradientshapeok="t" o:connecttype="rect"/>
            </v:shapetype>
            <v:shape id="Text Box 3" o:spid="_x0000_s1027" type="#_x0000_t202" alt="Classified as Internal | Intern" style="position:absolute;margin-left:0;margin-top:0;width:143.1pt;height:29.0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" filled="f" stroked="f">
              <v:fill o:detectmouseclick="t"/>
              <v:textbox style="mso-fit-shape-to-text:t" inset="20pt,0,0,15pt">
                <w:txbxContent>
                  <w:p w14:paraId="3797FF0E" w14:textId="5D20872A" w:rsidR="00BC303E" w:rsidRPr="00BC303E" w:rsidRDefault="00BC303E" w:rsidP="00BC303E">
                    <w:pPr>
                      <w:rPr>
                        <w:rFonts w:ascii="Aptos" w:eastAsia="Aptos" w:hAnsi="Aptos" w:cs="Aptos"/>
                        <w:noProof/>
                        <w:color w:val="000000"/>
                        <w:sz w:val="20"/>
                        <w:szCs w:val="20"/>
                      </w:rPr>
                    </w:pPr>
                    <w:r w:rsidRPr="00BC303E">
                      <w:rPr>
                        <w:rFonts w:ascii="Aptos" w:eastAsia="Aptos" w:hAnsi="Aptos" w:cs="Aptos"/>
                        <w:noProof/>
                        <w:color w:val="000000"/>
                        <w:sz w:val="20"/>
                        <w:szCs w:val="20"/>
                      </w:rPr>
                      <w:t>Classified as Internal | Intern</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6FF02" w14:textId="4AF10FA2" w:rsidR="00BC303E" w:rsidRDefault="00BC303E">
    <w:pPr>
      <w:pStyle w:val="Footer"/>
    </w:pPr>
    <w:r>
      <w:rPr>
        <w:noProof/>
      </w:rPr>
      <mc:AlternateContent>
        <mc:Choice Requires="wps">
          <w:drawing>
            <wp:anchor distT="0" distB="0" distL="0" distR="0" simplePos="0" relativeHeight="251658240" behindDoc="0" locked="0" layoutInCell="1" allowOverlap="1" wp14:anchorId="1CF18681" wp14:editId="090AC72C">
              <wp:simplePos x="635" y="635"/>
              <wp:positionH relativeFrom="page">
                <wp:align>left</wp:align>
              </wp:positionH>
              <wp:positionV relativeFrom="page">
                <wp:align>bottom</wp:align>
              </wp:positionV>
              <wp:extent cx="1817370" cy="368935"/>
              <wp:effectExtent l="0" t="0" r="11430" b="0"/>
              <wp:wrapNone/>
              <wp:docPr id="1486150618" name="Text Box 1" descr="Classified as Internal | 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17370" cy="368935"/>
                      </a:xfrm>
                      <a:prstGeom prst="rect">
                        <a:avLst/>
                      </a:prstGeom>
                      <a:noFill/>
                      <a:ln>
                        <a:noFill/>
                      </a:ln>
                    </wps:spPr>
                    <wps:txbx>
                      <w:txbxContent>
                        <w:p w14:paraId="64B34271" w14:textId="4C08E821" w:rsidR="00BC303E" w:rsidRPr="00BC303E" w:rsidRDefault="00BC303E" w:rsidP="00BC303E">
                          <w:pPr>
                            <w:rPr>
                              <w:rFonts w:ascii="Aptos" w:eastAsia="Aptos" w:hAnsi="Aptos" w:cs="Aptos"/>
                              <w:noProof/>
                              <w:color w:val="000000"/>
                              <w:sz w:val="20"/>
                              <w:szCs w:val="20"/>
                            </w:rPr>
                          </w:pPr>
                          <w:r w:rsidRPr="00BC303E">
                            <w:rPr>
                              <w:rFonts w:ascii="Aptos" w:eastAsia="Aptos" w:hAnsi="Aptos" w:cs="Aptos"/>
                              <w:noProof/>
                              <w:color w:val="000000"/>
                              <w:sz w:val="20"/>
                              <w:szCs w:val="20"/>
                            </w:rPr>
                            <w:t>Classified as Internal | Intern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CF18681" id="_x0000_t202" coordsize="21600,21600" o:spt="202" path="m,l,21600r21600,l21600,xe">
              <v:stroke joinstyle="miter"/>
              <v:path gradientshapeok="t" o:connecttype="rect"/>
            </v:shapetype>
            <v:shape id="Text Box 1" o:spid="_x0000_s1028" type="#_x0000_t202" alt="Classified as Internal | Intern" style="position:absolute;margin-left:0;margin-top:0;width:143.1pt;height:29.0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" filled="f" stroked="f">
              <v:fill o:detectmouseclick="t"/>
              <v:textbox style="mso-fit-shape-to-text:t" inset="20pt,0,0,15pt">
                <w:txbxContent>
                  <w:p w14:paraId="64B34271" w14:textId="4C08E821" w:rsidR="00BC303E" w:rsidRPr="00BC303E" w:rsidRDefault="00BC303E" w:rsidP="00BC303E">
                    <w:pPr>
                      <w:rPr>
                        <w:rFonts w:ascii="Aptos" w:eastAsia="Aptos" w:hAnsi="Aptos" w:cs="Aptos"/>
                        <w:noProof/>
                        <w:color w:val="000000"/>
                        <w:sz w:val="20"/>
                        <w:szCs w:val="20"/>
                      </w:rPr>
                    </w:pPr>
                    <w:r w:rsidRPr="00BC303E">
                      <w:rPr>
                        <w:rFonts w:ascii="Aptos" w:eastAsia="Aptos" w:hAnsi="Aptos" w:cs="Aptos"/>
                        <w:noProof/>
                        <w:color w:val="000000"/>
                        <w:sz w:val="20"/>
                        <w:szCs w:val="20"/>
                      </w:rPr>
                      <w:t>Classified as Internal | Intern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A42C07" w14:textId="77777777" w:rsidR="00BC303E" w:rsidRDefault="00BC303E" w:rsidP="00BC303E">
      <w:pPr>
        <w:spacing w:line="240" w:lineRule="auto"/>
      </w:pPr>
      <w:r>
        <w:separator/>
      </w:r>
    </w:p>
  </w:footnote>
  <w:footnote w:type="continuationSeparator" w:id="0">
    <w:p w14:paraId="3B486DFD" w14:textId="77777777" w:rsidR="00BC303E" w:rsidRDefault="00BC303E" w:rsidP="00BC303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3D6FAF"/>
    <w:multiLevelType w:val="multilevel"/>
    <w:tmpl w:val="C5025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671853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1CA"/>
    <w:rsid w:val="000B3013"/>
    <w:rsid w:val="00637C22"/>
    <w:rsid w:val="007B21CA"/>
    <w:rsid w:val="00BC303E"/>
  </w:rsids>
  <m:mathPr>
    <m:mathFont m:val="Cambria Math"/>
    <m:brkBin m:val="before"/>
    <m:brkBinSub m:val="--"/>
    <m:smallFrac m:val="0"/>
    <m:dispDef/>
    <m:lMargin m:val="0"/>
    <m:rMargin m:val="0"/>
    <m:defJc m:val="centerGroup"/>
    <m:wrapIndent m:val="1440"/>
    <m:intLim m:val="subSup"/>
    <m:naryLim m:val="undOvr"/>
  </m:mathPr>
  <w:themeFontLang w:bidi="my-M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FEAC61-D023-7C48-9F67-8A15B6DD8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my-MM"/>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BC303E"/>
    <w:pPr>
      <w:tabs>
        <w:tab w:val="center" w:pos="4680"/>
        <w:tab w:val="right" w:pos="9360"/>
      </w:tabs>
      <w:spacing w:line="240" w:lineRule="auto"/>
    </w:pPr>
  </w:style>
  <w:style w:type="character" w:customStyle="1" w:styleId="FooterChar">
    <w:name w:val="Footer Char"/>
    <w:basedOn w:val="DefaultParagraphFont"/>
    <w:link w:val="Footer"/>
    <w:uiPriority w:val="99"/>
    <w:rsid w:val="00BC30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geoffrey.aung@univie.ac.a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walid@ntu.edu.sg"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m.kaminer@qmul.ac.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d465f887-04a9-4c17-8b62-103eddccf68b}" enabled="1" method="Standard" siteId="{ca2a7f76-dbd7-4ec0-9108-6b3d524fb7c8}" contentBits="2" removed="0"/>
</clbl:labelList>
</file>

<file path=docProps/app.xml><?xml version="1.0" encoding="utf-8"?>
<Properties xmlns="http://schemas.openxmlformats.org/officeDocument/2006/extended-properties" xmlns:vt="http://schemas.openxmlformats.org/officeDocument/2006/docPropsVTypes">
  <Template>Normal</Template>
  <TotalTime>0</TotalTime>
  <Pages>2</Pages>
  <Words>698</Words>
  <Characters>3980</Characters>
  <Application>Microsoft Office Word</Application>
  <DocSecurity>4</DocSecurity>
  <Lines>33</Lines>
  <Paragraphs>9</Paragraphs>
  <ScaleCrop>false</ScaleCrop>
  <Company/>
  <LinksUpToDate>false</LinksUpToDate>
  <CharactersWithSpaces>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Siegers, S.R. (Yayah)</dc:creator>
  <cp:lastModifiedBy>Siegers, S.R. (Yayah)</cp:lastModifiedBy>
  <cp:revision>2</cp:revision>
  <dcterms:created xsi:type="dcterms:W3CDTF">2025-12-02T00:50:00Z</dcterms:created>
  <dcterms:modified xsi:type="dcterms:W3CDTF">2025-12-02T00:50:00Z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5894dbda,67a3b33d,1791ffb9</vt:lpwstr>
  </property>
  <property fmtid="{D5CDD505-2E9C-101B-9397-08002B2CF9AE}" pid="3" name="ClassificationContentMarkingFooterFontProps">
    <vt:lpwstr>#000000,10,Aptos</vt:lpwstr>
  </property>
  <property fmtid="{D5CDD505-2E9C-101B-9397-08002B2CF9AE}" pid="4" name="ClassificationContentMarkingFooterText">
    <vt:lpwstr>Classified as Internal | Intern</vt:lpwstr>
  </property>
</Properties>
</file>