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DA08" w14:textId="77777777" w:rsidR="00EC2A34" w:rsidRPr="00610C59" w:rsidRDefault="00EC2A34" w:rsidP="00EC2A34">
      <w:pPr>
        <w:rPr>
          <w:rFonts w:ascii="Arial" w:hAnsi="Arial" w:cs="Arial"/>
          <w:sz w:val="22"/>
          <w:szCs w:val="22"/>
        </w:rPr>
      </w:pPr>
    </w:p>
    <w:tbl>
      <w:tblPr>
        <w:tblStyle w:val="TableGrid"/>
        <w:tblW w:w="0" w:type="auto"/>
        <w:tblLook w:val="04A0" w:firstRow="1" w:lastRow="0" w:firstColumn="1" w:lastColumn="0" w:noHBand="0" w:noVBand="1"/>
      </w:tblPr>
      <w:tblGrid>
        <w:gridCol w:w="400"/>
        <w:gridCol w:w="1427"/>
        <w:gridCol w:w="7523"/>
      </w:tblGrid>
      <w:tr w:rsidR="00EC2A34" w:rsidRPr="00610C59" w14:paraId="338F9B40" w14:textId="77777777" w:rsidTr="00610C59">
        <w:tc>
          <w:tcPr>
            <w:tcW w:w="396" w:type="dxa"/>
          </w:tcPr>
          <w:p w14:paraId="42B24A63" w14:textId="77A070FB" w:rsidR="00EC2A34" w:rsidRPr="00610C59" w:rsidRDefault="00EC2A34" w:rsidP="00373EE8">
            <w:pPr>
              <w:spacing w:after="240"/>
              <w:rPr>
                <w:rFonts w:ascii="Arial" w:hAnsi="Arial" w:cs="Arial"/>
                <w:sz w:val="22"/>
                <w:szCs w:val="22"/>
              </w:rPr>
            </w:pPr>
            <w:r w:rsidRPr="00610C59">
              <w:rPr>
                <w:rFonts w:ascii="Arial" w:hAnsi="Arial" w:cs="Arial"/>
                <w:sz w:val="22"/>
                <w:szCs w:val="22"/>
              </w:rPr>
              <w:t>1.</w:t>
            </w:r>
          </w:p>
        </w:tc>
        <w:tc>
          <w:tcPr>
            <w:tcW w:w="1299" w:type="dxa"/>
          </w:tcPr>
          <w:p w14:paraId="4CDC9E64" w14:textId="653FEB8C" w:rsidR="00EC2A34" w:rsidRPr="00610C59" w:rsidRDefault="00EC2A34" w:rsidP="00373EE8">
            <w:pPr>
              <w:spacing w:after="240"/>
              <w:rPr>
                <w:rFonts w:ascii="Arial" w:hAnsi="Arial" w:cs="Arial"/>
                <w:b/>
                <w:bCs/>
                <w:sz w:val="22"/>
                <w:szCs w:val="22"/>
              </w:rPr>
            </w:pPr>
            <w:r w:rsidRPr="00610C59">
              <w:rPr>
                <w:rFonts w:ascii="Arial" w:hAnsi="Arial" w:cs="Arial"/>
                <w:b/>
                <w:bCs/>
                <w:sz w:val="22"/>
                <w:szCs w:val="22"/>
              </w:rPr>
              <w:t>Title</w:t>
            </w:r>
          </w:p>
        </w:tc>
        <w:tc>
          <w:tcPr>
            <w:tcW w:w="7655" w:type="dxa"/>
          </w:tcPr>
          <w:p w14:paraId="46B547C8" w14:textId="52CDD384" w:rsidR="004931CE" w:rsidRPr="004931CE" w:rsidRDefault="004931CE" w:rsidP="004931CE">
            <w:pPr>
              <w:pStyle w:val="NormalWeb"/>
              <w:spacing w:after="240" w:afterAutospacing="0"/>
              <w:rPr>
                <w:b/>
                <w:bCs/>
                <w:color w:val="000000"/>
              </w:rPr>
            </w:pPr>
            <w:r w:rsidRPr="004931CE">
              <w:rPr>
                <w:b/>
                <w:bCs/>
                <w:color w:val="000000"/>
              </w:rPr>
              <w:t xml:space="preserve">Safeguarding Scholarship: </w:t>
            </w:r>
            <w:proofErr w:type="spellStart"/>
            <w:r w:rsidRPr="004931CE">
              <w:rPr>
                <w:b/>
                <w:bCs/>
                <w:color w:val="000000"/>
              </w:rPr>
              <w:t>Autocratization</w:t>
            </w:r>
            <w:proofErr w:type="spellEnd"/>
            <w:r w:rsidRPr="004931CE">
              <w:rPr>
                <w:b/>
                <w:bCs/>
                <w:color w:val="000000"/>
              </w:rPr>
              <w:t>, Institutional Autonomy, and Academic Freedom in Southeast Asia</w:t>
            </w:r>
          </w:p>
        </w:tc>
      </w:tr>
      <w:tr w:rsidR="00EC2A34" w:rsidRPr="00610C59" w14:paraId="1178BF51" w14:textId="77777777" w:rsidTr="00610C59">
        <w:tc>
          <w:tcPr>
            <w:tcW w:w="396" w:type="dxa"/>
          </w:tcPr>
          <w:p w14:paraId="2743A6B1" w14:textId="6C94C1D1" w:rsidR="00EC2A34" w:rsidRPr="00610C59" w:rsidRDefault="00EC2A34" w:rsidP="00EC2A34">
            <w:pPr>
              <w:rPr>
                <w:rFonts w:ascii="Arial" w:hAnsi="Arial" w:cs="Arial"/>
                <w:sz w:val="22"/>
                <w:szCs w:val="22"/>
              </w:rPr>
            </w:pPr>
            <w:r w:rsidRPr="00610C59">
              <w:rPr>
                <w:rFonts w:ascii="Arial" w:hAnsi="Arial" w:cs="Arial"/>
                <w:sz w:val="22"/>
                <w:szCs w:val="22"/>
              </w:rPr>
              <w:t>2.</w:t>
            </w:r>
          </w:p>
        </w:tc>
        <w:tc>
          <w:tcPr>
            <w:tcW w:w="1299" w:type="dxa"/>
          </w:tcPr>
          <w:p w14:paraId="695E8FDE" w14:textId="7B7CA5E2" w:rsidR="00EC2A34" w:rsidRPr="00610C59" w:rsidRDefault="00EC2A34" w:rsidP="00EC2A34">
            <w:pPr>
              <w:rPr>
                <w:rFonts w:ascii="Arial" w:hAnsi="Arial" w:cs="Arial"/>
                <w:b/>
                <w:bCs/>
                <w:sz w:val="22"/>
                <w:szCs w:val="22"/>
              </w:rPr>
            </w:pPr>
            <w:r w:rsidRPr="00610C59">
              <w:rPr>
                <w:rFonts w:ascii="Arial" w:hAnsi="Arial" w:cs="Arial"/>
                <w:b/>
                <w:bCs/>
                <w:sz w:val="22"/>
                <w:szCs w:val="22"/>
              </w:rPr>
              <w:t>Convener</w:t>
            </w:r>
            <w:r w:rsidR="003D5DF8">
              <w:rPr>
                <w:rFonts w:ascii="Arial" w:hAnsi="Arial" w:cs="Arial"/>
                <w:b/>
                <w:bCs/>
                <w:sz w:val="22"/>
                <w:szCs w:val="22"/>
              </w:rPr>
              <w:t>s</w:t>
            </w:r>
          </w:p>
        </w:tc>
        <w:tc>
          <w:tcPr>
            <w:tcW w:w="7655" w:type="dxa"/>
          </w:tcPr>
          <w:p w14:paraId="77AB3164" w14:textId="702533A1" w:rsidR="00373EE8" w:rsidRDefault="003829F9" w:rsidP="00EC2A34">
            <w:pPr>
              <w:rPr>
                <w:rFonts w:ascii="Arial" w:hAnsi="Arial" w:cs="Arial"/>
                <w:sz w:val="22"/>
                <w:szCs w:val="22"/>
              </w:rPr>
            </w:pPr>
            <w:r>
              <w:rPr>
                <w:rFonts w:ascii="Arial" w:hAnsi="Arial" w:cs="Arial"/>
                <w:sz w:val="22"/>
                <w:szCs w:val="22"/>
              </w:rPr>
              <w:t xml:space="preserve">Co-Conveners: </w:t>
            </w:r>
            <w:r w:rsidR="00575D51" w:rsidRPr="00610C59">
              <w:rPr>
                <w:rFonts w:ascii="Arial" w:hAnsi="Arial" w:cs="Arial"/>
                <w:sz w:val="22"/>
                <w:szCs w:val="22"/>
              </w:rPr>
              <w:t xml:space="preserve">Dr. Sriprapha Petcharamesree </w:t>
            </w:r>
          </w:p>
          <w:p w14:paraId="0F7803DA" w14:textId="73A67F56" w:rsidR="004931CE" w:rsidRDefault="00575D51" w:rsidP="004931CE">
            <w:r w:rsidRPr="00610C59">
              <w:rPr>
                <w:rFonts w:ascii="Arial" w:hAnsi="Arial" w:cs="Arial"/>
                <w:sz w:val="22"/>
                <w:szCs w:val="22"/>
              </w:rPr>
              <w:t>Faculty of Law, Chulalongkorn University, Thailand</w:t>
            </w:r>
            <w:r w:rsidR="003829F9">
              <w:rPr>
                <w:rFonts w:ascii="Arial" w:hAnsi="Arial" w:cs="Arial"/>
                <w:sz w:val="22"/>
                <w:szCs w:val="22"/>
              </w:rPr>
              <w:t xml:space="preserve">, </w:t>
            </w:r>
            <w:r w:rsidR="003829F9" w:rsidRPr="003829F9">
              <w:rPr>
                <w:rFonts w:ascii="Arial" w:hAnsi="Arial" w:cs="Arial"/>
                <w:sz w:val="22"/>
                <w:szCs w:val="22"/>
              </w:rPr>
              <w:t>sripraphapet@gmail.com</w:t>
            </w:r>
            <w:r w:rsidR="003829F9">
              <w:rPr>
                <w:rFonts w:ascii="Arial" w:hAnsi="Arial" w:cs="Arial"/>
                <w:sz w:val="22"/>
                <w:szCs w:val="22"/>
              </w:rPr>
              <w:t>*</w:t>
            </w:r>
            <w:r w:rsidR="003829F9" w:rsidRPr="003829F9">
              <w:rPr>
                <w:rFonts w:ascii="Arial" w:hAnsi="Arial" w:cs="Arial"/>
                <w:sz w:val="22"/>
                <w:szCs w:val="22"/>
              </w:rPr>
              <w:t xml:space="preserve"> </w:t>
            </w:r>
            <w:r w:rsidR="003829F9">
              <w:rPr>
                <w:rFonts w:ascii="Arial" w:hAnsi="Arial" w:cs="Arial"/>
                <w:sz w:val="22"/>
                <w:szCs w:val="22"/>
              </w:rPr>
              <w:t>and</w:t>
            </w:r>
            <w:r w:rsidR="003829F9" w:rsidRPr="003829F9">
              <w:rPr>
                <w:rFonts w:ascii="Arial" w:hAnsi="Arial" w:cs="Arial"/>
                <w:sz w:val="22"/>
                <w:szCs w:val="22"/>
              </w:rPr>
              <w:t xml:space="preserve"> sriprapha@law.chula.ac.th</w:t>
            </w:r>
            <w:r w:rsidR="00EC2A34" w:rsidRPr="00610C59">
              <w:rPr>
                <w:rFonts w:ascii="Arial" w:hAnsi="Arial" w:cs="Arial"/>
                <w:sz w:val="22"/>
                <w:szCs w:val="22"/>
              </w:rPr>
              <w:t>;</w:t>
            </w:r>
            <w:r w:rsidR="003829F9">
              <w:rPr>
                <w:rFonts w:ascii="Arial" w:hAnsi="Arial" w:cs="Arial"/>
                <w:sz w:val="22"/>
                <w:szCs w:val="22"/>
              </w:rPr>
              <w:t xml:space="preserve"> and </w:t>
            </w:r>
            <w:proofErr w:type="spellStart"/>
            <w:r w:rsidR="003829F9">
              <w:rPr>
                <w:rFonts w:ascii="Arial" w:hAnsi="Arial" w:cs="Arial"/>
                <w:sz w:val="22"/>
                <w:szCs w:val="22"/>
              </w:rPr>
              <w:t>Assoc.Prof.Dr</w:t>
            </w:r>
            <w:proofErr w:type="spellEnd"/>
            <w:r w:rsidR="003829F9" w:rsidRPr="003829F9">
              <w:rPr>
                <w:rFonts w:ascii="Arial" w:hAnsi="Arial" w:cs="Arial"/>
                <w:sz w:val="22"/>
                <w:szCs w:val="22"/>
              </w:rPr>
              <w:t xml:space="preserve">. </w:t>
            </w:r>
            <w:proofErr w:type="spellStart"/>
            <w:r w:rsidR="003829F9" w:rsidRPr="003829F9">
              <w:rPr>
                <w:rFonts w:ascii="Arial" w:hAnsi="Arial" w:cs="Arial"/>
                <w:sz w:val="22"/>
                <w:szCs w:val="22"/>
              </w:rPr>
              <w:t>Ratnaria</w:t>
            </w:r>
            <w:proofErr w:type="spellEnd"/>
            <w:r w:rsidR="003829F9" w:rsidRPr="003829F9">
              <w:rPr>
                <w:rFonts w:ascii="Arial" w:hAnsi="Arial" w:cs="Arial"/>
                <w:sz w:val="22"/>
                <w:szCs w:val="22"/>
              </w:rPr>
              <w:t xml:space="preserve"> Wahid</w:t>
            </w:r>
            <w:r w:rsidR="003829F9">
              <w:rPr>
                <w:rFonts w:ascii="Arial" w:hAnsi="Arial" w:cs="Arial"/>
                <w:sz w:val="22"/>
                <w:szCs w:val="22"/>
              </w:rPr>
              <w:t xml:space="preserve">, </w:t>
            </w:r>
            <w:r w:rsidR="003829F9" w:rsidRPr="003829F9">
              <w:rPr>
                <w:rFonts w:ascii="Arial" w:hAnsi="Arial" w:cs="Arial"/>
                <w:sz w:val="22"/>
                <w:szCs w:val="22"/>
              </w:rPr>
              <w:tab/>
              <w:t xml:space="preserve">School of International Studies, </w:t>
            </w:r>
            <w:proofErr w:type="spellStart"/>
            <w:r w:rsidR="003829F9" w:rsidRPr="003829F9">
              <w:rPr>
                <w:rFonts w:ascii="Arial" w:hAnsi="Arial" w:cs="Arial"/>
                <w:sz w:val="22"/>
                <w:szCs w:val="22"/>
              </w:rPr>
              <w:t>Universiti</w:t>
            </w:r>
            <w:proofErr w:type="spellEnd"/>
            <w:r w:rsidR="003829F9" w:rsidRPr="003829F9">
              <w:rPr>
                <w:rFonts w:ascii="Arial" w:hAnsi="Arial" w:cs="Arial"/>
                <w:sz w:val="22"/>
                <w:szCs w:val="22"/>
              </w:rPr>
              <w:t xml:space="preserve"> Utara Malaysia</w:t>
            </w:r>
            <w:r w:rsidR="003829F9">
              <w:rPr>
                <w:rFonts w:ascii="Arial" w:hAnsi="Arial" w:cs="Arial"/>
                <w:sz w:val="22"/>
                <w:szCs w:val="22"/>
              </w:rPr>
              <w:t xml:space="preserve">, </w:t>
            </w:r>
            <w:r w:rsidR="003D5DF8" w:rsidRPr="003D5DF8">
              <w:rPr>
                <w:rFonts w:ascii="Arial" w:hAnsi="Arial" w:cs="Arial"/>
                <w:sz w:val="22"/>
                <w:szCs w:val="22"/>
              </w:rPr>
              <w:t>ratnaria@uum.edu.my</w:t>
            </w:r>
            <w:r w:rsidR="003D5DF8">
              <w:rPr>
                <w:rFonts w:ascii="Arial" w:hAnsi="Arial" w:cs="Arial"/>
                <w:sz w:val="22"/>
                <w:szCs w:val="22"/>
              </w:rPr>
              <w:t>*</w:t>
            </w:r>
          </w:p>
          <w:p w14:paraId="6BC220FF" w14:textId="1C98DB41" w:rsidR="001848B8" w:rsidRPr="00610C59" w:rsidRDefault="001848B8" w:rsidP="00EC2A34">
            <w:pPr>
              <w:rPr>
                <w:rFonts w:ascii="Arial" w:hAnsi="Arial" w:cs="Arial"/>
                <w:sz w:val="22"/>
                <w:szCs w:val="22"/>
              </w:rPr>
            </w:pPr>
          </w:p>
        </w:tc>
      </w:tr>
      <w:tr w:rsidR="00EC2A34" w:rsidRPr="00610C59" w14:paraId="52D05BA3" w14:textId="77777777" w:rsidTr="00610C59">
        <w:tc>
          <w:tcPr>
            <w:tcW w:w="396" w:type="dxa"/>
          </w:tcPr>
          <w:p w14:paraId="60503075" w14:textId="1EBA4C85" w:rsidR="00EC2A34" w:rsidRPr="00610C59" w:rsidRDefault="00EC2A34" w:rsidP="00EC2A34">
            <w:pPr>
              <w:rPr>
                <w:rFonts w:ascii="Arial" w:hAnsi="Arial" w:cs="Arial"/>
                <w:sz w:val="22"/>
                <w:szCs w:val="22"/>
              </w:rPr>
            </w:pPr>
            <w:r w:rsidRPr="00610C59">
              <w:rPr>
                <w:rFonts w:ascii="Arial" w:hAnsi="Arial" w:cs="Arial"/>
                <w:sz w:val="22"/>
                <w:szCs w:val="22"/>
              </w:rPr>
              <w:t>3.</w:t>
            </w:r>
          </w:p>
        </w:tc>
        <w:tc>
          <w:tcPr>
            <w:tcW w:w="1299" w:type="dxa"/>
          </w:tcPr>
          <w:p w14:paraId="7F5FF4E2" w14:textId="5C8EFFCE" w:rsidR="00EC2A34" w:rsidRPr="00610C59" w:rsidRDefault="00EC2A34" w:rsidP="00EC2A34">
            <w:pPr>
              <w:rPr>
                <w:rFonts w:ascii="Arial" w:hAnsi="Arial" w:cs="Arial"/>
                <w:b/>
                <w:bCs/>
                <w:sz w:val="22"/>
                <w:szCs w:val="22"/>
              </w:rPr>
            </w:pPr>
            <w:r w:rsidRPr="00610C59">
              <w:rPr>
                <w:rFonts w:ascii="Arial" w:hAnsi="Arial" w:cs="Arial"/>
                <w:b/>
                <w:bCs/>
                <w:sz w:val="22"/>
                <w:szCs w:val="22"/>
              </w:rPr>
              <w:t>Format</w:t>
            </w:r>
          </w:p>
        </w:tc>
        <w:tc>
          <w:tcPr>
            <w:tcW w:w="7655" w:type="dxa"/>
          </w:tcPr>
          <w:p w14:paraId="7C0CE1F2" w14:textId="79FE3D1F" w:rsidR="00575D51" w:rsidRPr="00610C59" w:rsidRDefault="00DB7851" w:rsidP="006372C8">
            <w:pPr>
              <w:pStyle w:val="NormalWeb"/>
              <w:jc w:val="both"/>
              <w:rPr>
                <w:rFonts w:ascii="Arial" w:hAnsi="Arial" w:cs="Arial"/>
                <w:color w:val="000000"/>
                <w:sz w:val="22"/>
                <w:szCs w:val="22"/>
              </w:rPr>
            </w:pPr>
            <w:r w:rsidRPr="00610C59">
              <w:rPr>
                <w:rFonts w:ascii="Arial" w:hAnsi="Arial" w:cs="Arial"/>
                <w:color w:val="000000"/>
                <w:sz w:val="22"/>
                <w:szCs w:val="22"/>
              </w:rPr>
              <w:t xml:space="preserve">This double panel adopts a </w:t>
            </w:r>
            <w:r w:rsidR="003D5DF8">
              <w:rPr>
                <w:rFonts w:ascii="Arial" w:hAnsi="Arial" w:cs="Arial"/>
                <w:color w:val="000000"/>
                <w:sz w:val="22"/>
                <w:szCs w:val="22"/>
              </w:rPr>
              <w:t>double</w:t>
            </w:r>
            <w:r w:rsidRPr="00610C59">
              <w:rPr>
                <w:rFonts w:ascii="Arial" w:hAnsi="Arial" w:cs="Arial"/>
                <w:color w:val="000000"/>
                <w:sz w:val="22"/>
                <w:szCs w:val="22"/>
              </w:rPr>
              <w:t xml:space="preserve">-session format (2 x 90 minutes) to explore academic freedom in Southeast Asia, based on an ongoing collaborative ASEAN research project. </w:t>
            </w:r>
            <w:r w:rsidR="004931CE">
              <w:rPr>
                <w:rFonts w:ascii="Arial" w:hAnsi="Arial" w:cs="Arial"/>
                <w:color w:val="000000"/>
                <w:sz w:val="22"/>
                <w:szCs w:val="22"/>
              </w:rPr>
              <w:t>E</w:t>
            </w:r>
            <w:r w:rsidRPr="00610C59">
              <w:rPr>
                <w:rFonts w:ascii="Arial" w:hAnsi="Arial" w:cs="Arial"/>
                <w:color w:val="000000"/>
                <w:sz w:val="22"/>
                <w:szCs w:val="22"/>
              </w:rPr>
              <w:t>nsuring diversity in perspectives from multiple institutions and countries</w:t>
            </w:r>
            <w:r w:rsidR="004931CE">
              <w:rPr>
                <w:rFonts w:ascii="Arial" w:hAnsi="Arial" w:cs="Arial"/>
                <w:color w:val="000000"/>
                <w:sz w:val="22"/>
                <w:szCs w:val="22"/>
              </w:rPr>
              <w:t>,</w:t>
            </w:r>
            <w:r w:rsidRPr="00610C59">
              <w:rPr>
                <w:rFonts w:ascii="Arial" w:hAnsi="Arial" w:cs="Arial"/>
                <w:color w:val="000000"/>
                <w:sz w:val="22"/>
                <w:szCs w:val="22"/>
              </w:rPr>
              <w:t xml:space="preserve"> </w:t>
            </w:r>
            <w:r w:rsidR="004931CE">
              <w:rPr>
                <w:rFonts w:ascii="Arial" w:hAnsi="Arial" w:cs="Arial"/>
                <w:color w:val="000000"/>
                <w:sz w:val="22"/>
                <w:szCs w:val="22"/>
              </w:rPr>
              <w:t>t</w:t>
            </w:r>
            <w:r w:rsidRPr="00610C59">
              <w:rPr>
                <w:rFonts w:ascii="Arial" w:hAnsi="Arial" w:cs="Arial"/>
                <w:color w:val="000000"/>
                <w:sz w:val="22"/>
                <w:szCs w:val="22"/>
              </w:rPr>
              <w:t xml:space="preserve">he structure </w:t>
            </w:r>
            <w:r w:rsidR="004931CE">
              <w:rPr>
                <w:rFonts w:ascii="Arial" w:hAnsi="Arial" w:cs="Arial"/>
                <w:color w:val="000000"/>
                <w:sz w:val="22"/>
                <w:szCs w:val="22"/>
              </w:rPr>
              <w:t xml:space="preserve">also </w:t>
            </w:r>
            <w:r w:rsidRPr="00610C59">
              <w:rPr>
                <w:rFonts w:ascii="Arial" w:hAnsi="Arial" w:cs="Arial"/>
                <w:color w:val="000000"/>
                <w:sz w:val="22"/>
                <w:szCs w:val="22"/>
              </w:rPr>
              <w:t>promotes in-depth presentations, expert discussion, and audience interaction while remaining open to external contributors.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3"/>
              <w:gridCol w:w="1249"/>
              <w:gridCol w:w="1405"/>
              <w:gridCol w:w="1496"/>
              <w:gridCol w:w="1400"/>
              <w:gridCol w:w="573"/>
              <w:gridCol w:w="681"/>
            </w:tblGrid>
            <w:tr w:rsidR="00575D51" w:rsidRPr="00610C59" w14:paraId="7D00DE0E" w14:textId="77777777" w:rsidTr="003829F9">
              <w:trPr>
                <w:tblHeader/>
                <w:tblCellSpacing w:w="15" w:type="dxa"/>
              </w:trPr>
              <w:tc>
                <w:tcPr>
                  <w:tcW w:w="447" w:type="dxa"/>
                  <w:vAlign w:val="center"/>
                  <w:hideMark/>
                </w:tcPr>
                <w:p w14:paraId="3EE59A5E" w14:textId="05C3499B" w:rsidR="00575D51" w:rsidRPr="00610C59" w:rsidRDefault="006372C8" w:rsidP="00575D51">
                  <w:pPr>
                    <w:jc w:val="center"/>
                    <w:rPr>
                      <w:rFonts w:ascii="Arial" w:hAnsi="Arial" w:cs="Arial"/>
                      <w:b/>
                      <w:bCs/>
                      <w:sz w:val="22"/>
                      <w:szCs w:val="22"/>
                    </w:rPr>
                  </w:pPr>
                  <w:r>
                    <w:rPr>
                      <w:rFonts w:ascii="Arial" w:hAnsi="Arial" w:cs="Arial"/>
                      <w:b/>
                      <w:bCs/>
                      <w:sz w:val="22"/>
                      <w:szCs w:val="22"/>
                    </w:rPr>
                    <w:t>Part</w:t>
                  </w:r>
                </w:p>
              </w:tc>
              <w:tc>
                <w:tcPr>
                  <w:tcW w:w="1219" w:type="dxa"/>
                  <w:vAlign w:val="center"/>
                  <w:hideMark/>
                </w:tcPr>
                <w:p w14:paraId="095FDC39" w14:textId="77777777" w:rsidR="00575D51" w:rsidRPr="00610C59" w:rsidRDefault="00575D51" w:rsidP="00575D51">
                  <w:pPr>
                    <w:jc w:val="center"/>
                    <w:rPr>
                      <w:rFonts w:ascii="Arial" w:hAnsi="Arial" w:cs="Arial"/>
                      <w:b/>
                      <w:bCs/>
                      <w:sz w:val="22"/>
                      <w:szCs w:val="22"/>
                    </w:rPr>
                  </w:pPr>
                  <w:r w:rsidRPr="00610C59">
                    <w:rPr>
                      <w:rFonts w:ascii="Arial" w:hAnsi="Arial" w:cs="Arial"/>
                      <w:b/>
                      <w:bCs/>
                      <w:sz w:val="22"/>
                      <w:szCs w:val="22"/>
                    </w:rPr>
                    <w:t>Focus</w:t>
                  </w:r>
                </w:p>
              </w:tc>
              <w:tc>
                <w:tcPr>
                  <w:tcW w:w="1375" w:type="dxa"/>
                  <w:vAlign w:val="center"/>
                  <w:hideMark/>
                </w:tcPr>
                <w:p w14:paraId="3D90228A" w14:textId="77777777" w:rsidR="00575D51" w:rsidRPr="00610C59" w:rsidRDefault="00575D51" w:rsidP="00575D51">
                  <w:pPr>
                    <w:jc w:val="center"/>
                    <w:rPr>
                      <w:rFonts w:ascii="Arial" w:hAnsi="Arial" w:cs="Arial"/>
                      <w:b/>
                      <w:bCs/>
                      <w:sz w:val="22"/>
                      <w:szCs w:val="22"/>
                    </w:rPr>
                  </w:pPr>
                  <w:r w:rsidRPr="00610C59">
                    <w:rPr>
                      <w:rFonts w:ascii="Arial" w:hAnsi="Arial" w:cs="Arial"/>
                      <w:b/>
                      <w:bCs/>
                      <w:sz w:val="22"/>
                      <w:szCs w:val="22"/>
                    </w:rPr>
                    <w:t>Papers</w:t>
                  </w:r>
                </w:p>
              </w:tc>
              <w:tc>
                <w:tcPr>
                  <w:tcW w:w="1466" w:type="dxa"/>
                  <w:vAlign w:val="center"/>
                  <w:hideMark/>
                </w:tcPr>
                <w:p w14:paraId="5D89EBF0" w14:textId="77777777" w:rsidR="00575D51" w:rsidRPr="00610C59" w:rsidRDefault="00575D51" w:rsidP="00575D51">
                  <w:pPr>
                    <w:jc w:val="center"/>
                    <w:rPr>
                      <w:rFonts w:ascii="Arial" w:hAnsi="Arial" w:cs="Arial"/>
                      <w:b/>
                      <w:bCs/>
                      <w:sz w:val="22"/>
                      <w:szCs w:val="22"/>
                    </w:rPr>
                  </w:pPr>
                  <w:r w:rsidRPr="00610C59">
                    <w:rPr>
                      <w:rFonts w:ascii="Arial" w:hAnsi="Arial" w:cs="Arial"/>
                      <w:b/>
                      <w:bCs/>
                      <w:sz w:val="22"/>
                      <w:szCs w:val="22"/>
                    </w:rPr>
                    <w:t>Presentation Time</w:t>
                  </w:r>
                </w:p>
              </w:tc>
              <w:tc>
                <w:tcPr>
                  <w:tcW w:w="0" w:type="auto"/>
                  <w:vAlign w:val="center"/>
                  <w:hideMark/>
                </w:tcPr>
                <w:p w14:paraId="0F2D2DEF" w14:textId="77777777" w:rsidR="00575D51" w:rsidRPr="00610C59" w:rsidRDefault="00575D51" w:rsidP="00575D51">
                  <w:pPr>
                    <w:jc w:val="center"/>
                    <w:rPr>
                      <w:rFonts w:ascii="Arial" w:hAnsi="Arial" w:cs="Arial"/>
                      <w:b/>
                      <w:bCs/>
                      <w:sz w:val="22"/>
                      <w:szCs w:val="22"/>
                    </w:rPr>
                  </w:pPr>
                  <w:r w:rsidRPr="00610C59">
                    <w:rPr>
                      <w:rFonts w:ascii="Arial" w:hAnsi="Arial" w:cs="Arial"/>
                      <w:b/>
                      <w:bCs/>
                      <w:sz w:val="22"/>
                      <w:szCs w:val="22"/>
                    </w:rPr>
                    <w:t>Discussant Comments</w:t>
                  </w:r>
                </w:p>
              </w:tc>
              <w:tc>
                <w:tcPr>
                  <w:tcW w:w="0" w:type="auto"/>
                  <w:vAlign w:val="center"/>
                  <w:hideMark/>
                </w:tcPr>
                <w:p w14:paraId="5347D1D6" w14:textId="77777777" w:rsidR="00575D51" w:rsidRPr="00610C59" w:rsidRDefault="00575D51" w:rsidP="00575D51">
                  <w:pPr>
                    <w:jc w:val="center"/>
                    <w:rPr>
                      <w:rFonts w:ascii="Arial" w:hAnsi="Arial" w:cs="Arial"/>
                      <w:b/>
                      <w:bCs/>
                      <w:sz w:val="22"/>
                      <w:szCs w:val="22"/>
                    </w:rPr>
                  </w:pPr>
                  <w:r w:rsidRPr="00610C59">
                    <w:rPr>
                      <w:rFonts w:ascii="Arial" w:hAnsi="Arial" w:cs="Arial"/>
                      <w:b/>
                      <w:bCs/>
                      <w:sz w:val="22"/>
                      <w:szCs w:val="22"/>
                    </w:rPr>
                    <w:t>Q&amp;A</w:t>
                  </w:r>
                </w:p>
              </w:tc>
              <w:tc>
                <w:tcPr>
                  <w:tcW w:w="0" w:type="auto"/>
                  <w:vAlign w:val="center"/>
                  <w:hideMark/>
                </w:tcPr>
                <w:p w14:paraId="0549D86F" w14:textId="77777777" w:rsidR="00575D51" w:rsidRPr="00610C59" w:rsidRDefault="00575D51" w:rsidP="00575D51">
                  <w:pPr>
                    <w:jc w:val="center"/>
                    <w:rPr>
                      <w:rFonts w:ascii="Arial" w:hAnsi="Arial" w:cs="Arial"/>
                      <w:b/>
                      <w:bCs/>
                      <w:sz w:val="22"/>
                      <w:szCs w:val="22"/>
                    </w:rPr>
                  </w:pPr>
                  <w:r w:rsidRPr="00610C59">
                    <w:rPr>
                      <w:rFonts w:ascii="Arial" w:hAnsi="Arial" w:cs="Arial"/>
                      <w:b/>
                      <w:bCs/>
                      <w:sz w:val="22"/>
                      <w:szCs w:val="22"/>
                    </w:rPr>
                    <w:t>Total Time</w:t>
                  </w:r>
                </w:p>
              </w:tc>
            </w:tr>
            <w:tr w:rsidR="00575D51" w:rsidRPr="00610C59" w14:paraId="3D9604D6" w14:textId="77777777" w:rsidTr="003829F9">
              <w:trPr>
                <w:tblCellSpacing w:w="15" w:type="dxa"/>
              </w:trPr>
              <w:tc>
                <w:tcPr>
                  <w:tcW w:w="447" w:type="dxa"/>
                  <w:vAlign w:val="center"/>
                  <w:hideMark/>
                </w:tcPr>
                <w:p w14:paraId="2553C715" w14:textId="46288C9B" w:rsidR="00575D51" w:rsidRPr="00610C59" w:rsidRDefault="00575D51" w:rsidP="00575D51">
                  <w:pPr>
                    <w:rPr>
                      <w:rFonts w:ascii="Arial" w:hAnsi="Arial" w:cs="Arial"/>
                      <w:sz w:val="22"/>
                      <w:szCs w:val="22"/>
                    </w:rPr>
                  </w:pPr>
                </w:p>
              </w:tc>
              <w:tc>
                <w:tcPr>
                  <w:tcW w:w="1219" w:type="dxa"/>
                  <w:vAlign w:val="center"/>
                </w:tcPr>
                <w:p w14:paraId="1A093E2F" w14:textId="33E31CEB" w:rsidR="00575D51" w:rsidRPr="00610C59" w:rsidRDefault="00575D51" w:rsidP="00575D51">
                  <w:pPr>
                    <w:rPr>
                      <w:rFonts w:ascii="Arial" w:hAnsi="Arial" w:cs="Arial"/>
                      <w:sz w:val="22"/>
                      <w:szCs w:val="22"/>
                    </w:rPr>
                  </w:pPr>
                </w:p>
              </w:tc>
              <w:tc>
                <w:tcPr>
                  <w:tcW w:w="1375" w:type="dxa"/>
                  <w:vAlign w:val="center"/>
                </w:tcPr>
                <w:p w14:paraId="6FA34479" w14:textId="42B1A3BB" w:rsidR="00575D51" w:rsidRPr="00610C59" w:rsidRDefault="00575D51" w:rsidP="00575D51">
                  <w:pPr>
                    <w:rPr>
                      <w:rFonts w:ascii="Arial" w:hAnsi="Arial" w:cs="Arial"/>
                      <w:sz w:val="22"/>
                      <w:szCs w:val="22"/>
                    </w:rPr>
                  </w:pPr>
                </w:p>
              </w:tc>
              <w:tc>
                <w:tcPr>
                  <w:tcW w:w="1466" w:type="dxa"/>
                  <w:vAlign w:val="center"/>
                </w:tcPr>
                <w:p w14:paraId="6586C706" w14:textId="4CADCD81" w:rsidR="00575D51" w:rsidRPr="00610C59" w:rsidRDefault="00575D51" w:rsidP="00575D51">
                  <w:pPr>
                    <w:rPr>
                      <w:rFonts w:ascii="Arial" w:hAnsi="Arial" w:cs="Arial"/>
                      <w:sz w:val="22"/>
                      <w:szCs w:val="22"/>
                    </w:rPr>
                  </w:pPr>
                </w:p>
              </w:tc>
              <w:tc>
                <w:tcPr>
                  <w:tcW w:w="0" w:type="auto"/>
                  <w:vAlign w:val="center"/>
                </w:tcPr>
                <w:p w14:paraId="7E8E0EC3" w14:textId="68F9A7F8" w:rsidR="00575D51" w:rsidRPr="00610C59" w:rsidRDefault="00575D51" w:rsidP="00575D51">
                  <w:pPr>
                    <w:rPr>
                      <w:rFonts w:ascii="Arial" w:hAnsi="Arial" w:cs="Arial"/>
                      <w:sz w:val="22"/>
                      <w:szCs w:val="22"/>
                    </w:rPr>
                  </w:pPr>
                </w:p>
              </w:tc>
              <w:tc>
                <w:tcPr>
                  <w:tcW w:w="0" w:type="auto"/>
                  <w:vAlign w:val="center"/>
                </w:tcPr>
                <w:p w14:paraId="2AD94A06" w14:textId="63485534" w:rsidR="00575D51" w:rsidRPr="00610C59" w:rsidRDefault="00575D51" w:rsidP="00575D51">
                  <w:pPr>
                    <w:rPr>
                      <w:rFonts w:ascii="Arial" w:hAnsi="Arial" w:cs="Arial"/>
                      <w:sz w:val="22"/>
                      <w:szCs w:val="22"/>
                    </w:rPr>
                  </w:pPr>
                </w:p>
              </w:tc>
              <w:tc>
                <w:tcPr>
                  <w:tcW w:w="0" w:type="auto"/>
                  <w:vAlign w:val="center"/>
                </w:tcPr>
                <w:p w14:paraId="6CF99355" w14:textId="4CE4095F" w:rsidR="00575D51" w:rsidRPr="00610C59" w:rsidRDefault="00575D51" w:rsidP="00575D51">
                  <w:pPr>
                    <w:rPr>
                      <w:rFonts w:ascii="Arial" w:hAnsi="Arial" w:cs="Arial"/>
                      <w:sz w:val="22"/>
                      <w:szCs w:val="22"/>
                    </w:rPr>
                  </w:pPr>
                </w:p>
              </w:tc>
            </w:tr>
            <w:tr w:rsidR="00575D51" w:rsidRPr="00610C59" w14:paraId="3EE3DBF0" w14:textId="77777777" w:rsidTr="003829F9">
              <w:trPr>
                <w:tblCellSpacing w:w="15" w:type="dxa"/>
              </w:trPr>
              <w:tc>
                <w:tcPr>
                  <w:tcW w:w="447" w:type="dxa"/>
                  <w:vAlign w:val="center"/>
                  <w:hideMark/>
                </w:tcPr>
                <w:p w14:paraId="3F44613B" w14:textId="2135FC10" w:rsidR="00575D51" w:rsidRPr="00610C59" w:rsidRDefault="003829F9" w:rsidP="00575D51">
                  <w:pPr>
                    <w:rPr>
                      <w:rFonts w:ascii="Arial" w:hAnsi="Arial" w:cs="Arial"/>
                      <w:sz w:val="22"/>
                      <w:szCs w:val="22"/>
                    </w:rPr>
                  </w:pPr>
                  <w:r>
                    <w:t>1.</w:t>
                  </w:r>
                </w:p>
              </w:tc>
              <w:tc>
                <w:tcPr>
                  <w:tcW w:w="1219" w:type="dxa"/>
                  <w:vAlign w:val="center"/>
                  <w:hideMark/>
                </w:tcPr>
                <w:p w14:paraId="3D52E5F5" w14:textId="77777777" w:rsidR="00575D51" w:rsidRPr="00610C59" w:rsidRDefault="00575D51" w:rsidP="00575D51">
                  <w:pPr>
                    <w:rPr>
                      <w:rFonts w:ascii="Arial" w:hAnsi="Arial" w:cs="Arial"/>
                      <w:sz w:val="22"/>
                      <w:szCs w:val="22"/>
                    </w:rPr>
                  </w:pPr>
                  <w:r w:rsidRPr="00610C59">
                    <w:rPr>
                      <w:rFonts w:ascii="Arial" w:hAnsi="Arial" w:cs="Arial"/>
                      <w:sz w:val="22"/>
                      <w:szCs w:val="22"/>
                    </w:rPr>
                    <w:t>Country Case Studies</w:t>
                  </w:r>
                </w:p>
              </w:tc>
              <w:tc>
                <w:tcPr>
                  <w:tcW w:w="1375" w:type="dxa"/>
                  <w:vAlign w:val="center"/>
                  <w:hideMark/>
                </w:tcPr>
                <w:p w14:paraId="32EC2106" w14:textId="77777777" w:rsidR="003829F9" w:rsidRDefault="00575D51" w:rsidP="00575D51">
                  <w:pPr>
                    <w:rPr>
                      <w:rFonts w:ascii="Arial" w:hAnsi="Arial" w:cs="Arial"/>
                      <w:sz w:val="22"/>
                      <w:szCs w:val="22"/>
                    </w:rPr>
                  </w:pPr>
                  <w:r w:rsidRPr="00610C59">
                    <w:rPr>
                      <w:rFonts w:ascii="Arial" w:hAnsi="Arial" w:cs="Arial"/>
                      <w:sz w:val="22"/>
                      <w:szCs w:val="22"/>
                    </w:rPr>
                    <w:t>4 country-specific papers</w:t>
                  </w:r>
                  <w:r w:rsidR="003829F9">
                    <w:rPr>
                      <w:rFonts w:ascii="Arial" w:hAnsi="Arial" w:cs="Arial"/>
                      <w:sz w:val="22"/>
                      <w:szCs w:val="22"/>
                    </w:rPr>
                    <w:t>.</w:t>
                  </w:r>
                </w:p>
                <w:p w14:paraId="304CB375" w14:textId="2F13A750" w:rsidR="003829F9" w:rsidRPr="00610C59" w:rsidRDefault="003829F9" w:rsidP="00575D51">
                  <w:pPr>
                    <w:rPr>
                      <w:rFonts w:ascii="Arial" w:hAnsi="Arial" w:cs="Arial"/>
                      <w:sz w:val="22"/>
                      <w:szCs w:val="22"/>
                    </w:rPr>
                  </w:pPr>
                </w:p>
              </w:tc>
              <w:tc>
                <w:tcPr>
                  <w:tcW w:w="1466" w:type="dxa"/>
                  <w:vAlign w:val="center"/>
                  <w:hideMark/>
                </w:tcPr>
                <w:p w14:paraId="098D65FA" w14:textId="77777777" w:rsidR="00575D51" w:rsidRPr="00610C59" w:rsidRDefault="00575D51" w:rsidP="00575D51">
                  <w:pPr>
                    <w:rPr>
                      <w:rFonts w:ascii="Arial" w:hAnsi="Arial" w:cs="Arial"/>
                      <w:sz w:val="22"/>
                      <w:szCs w:val="22"/>
                    </w:rPr>
                  </w:pPr>
                  <w:r w:rsidRPr="00610C59">
                    <w:rPr>
                      <w:rFonts w:ascii="Arial" w:hAnsi="Arial" w:cs="Arial"/>
                      <w:sz w:val="22"/>
                      <w:szCs w:val="22"/>
                    </w:rPr>
                    <w:t>15 min each (60 min total)</w:t>
                  </w:r>
                </w:p>
              </w:tc>
              <w:tc>
                <w:tcPr>
                  <w:tcW w:w="0" w:type="auto"/>
                  <w:vAlign w:val="center"/>
                  <w:hideMark/>
                </w:tcPr>
                <w:p w14:paraId="108DCC77" w14:textId="77777777" w:rsidR="00575D51" w:rsidRPr="00610C59" w:rsidRDefault="00575D51" w:rsidP="00575D51">
                  <w:pPr>
                    <w:rPr>
                      <w:rFonts w:ascii="Arial" w:hAnsi="Arial" w:cs="Arial"/>
                      <w:sz w:val="22"/>
                      <w:szCs w:val="22"/>
                    </w:rPr>
                  </w:pPr>
                  <w:r w:rsidRPr="00610C59">
                    <w:rPr>
                      <w:rFonts w:ascii="Arial" w:hAnsi="Arial" w:cs="Arial"/>
                      <w:sz w:val="22"/>
                      <w:szCs w:val="22"/>
                    </w:rPr>
                    <w:t>15 min</w:t>
                  </w:r>
                </w:p>
              </w:tc>
              <w:tc>
                <w:tcPr>
                  <w:tcW w:w="0" w:type="auto"/>
                  <w:vAlign w:val="center"/>
                  <w:hideMark/>
                </w:tcPr>
                <w:p w14:paraId="2AE99DE4" w14:textId="77777777" w:rsidR="00575D51" w:rsidRPr="00610C59" w:rsidRDefault="00575D51" w:rsidP="00575D51">
                  <w:pPr>
                    <w:rPr>
                      <w:rFonts w:ascii="Arial" w:hAnsi="Arial" w:cs="Arial"/>
                      <w:sz w:val="22"/>
                      <w:szCs w:val="22"/>
                    </w:rPr>
                  </w:pPr>
                  <w:r w:rsidRPr="00610C59">
                    <w:rPr>
                      <w:rFonts w:ascii="Arial" w:hAnsi="Arial" w:cs="Arial"/>
                      <w:sz w:val="22"/>
                      <w:szCs w:val="22"/>
                    </w:rPr>
                    <w:t>15 min</w:t>
                  </w:r>
                </w:p>
              </w:tc>
              <w:tc>
                <w:tcPr>
                  <w:tcW w:w="0" w:type="auto"/>
                  <w:vAlign w:val="center"/>
                  <w:hideMark/>
                </w:tcPr>
                <w:p w14:paraId="5F5AF131" w14:textId="77777777" w:rsidR="00575D51" w:rsidRPr="00610C59" w:rsidRDefault="00575D51" w:rsidP="00575D51">
                  <w:pPr>
                    <w:rPr>
                      <w:rFonts w:ascii="Arial" w:hAnsi="Arial" w:cs="Arial"/>
                      <w:sz w:val="22"/>
                      <w:szCs w:val="22"/>
                    </w:rPr>
                  </w:pPr>
                  <w:r w:rsidRPr="00610C59">
                    <w:rPr>
                      <w:rFonts w:ascii="Arial" w:hAnsi="Arial" w:cs="Arial"/>
                      <w:sz w:val="22"/>
                      <w:szCs w:val="22"/>
                    </w:rPr>
                    <w:t>90 min</w:t>
                  </w:r>
                </w:p>
              </w:tc>
            </w:tr>
          </w:tbl>
          <w:p w14:paraId="3303D635" w14:textId="27C96358" w:rsidR="003829F9" w:rsidRDefault="006655D9" w:rsidP="00EC2A34">
            <w:pPr>
              <w:rPr>
                <w:rFonts w:ascii="Arial" w:hAnsi="Arial" w:cs="Arial"/>
                <w:sz w:val="22"/>
                <w:szCs w:val="22"/>
              </w:rPr>
            </w:pPr>
            <w:r>
              <w:rPr>
                <w:rFonts w:ascii="Arial" w:hAnsi="Arial" w:cs="Arial"/>
                <w:sz w:val="22"/>
                <w:szCs w:val="22"/>
              </w:rPr>
              <w:t xml:space="preserve"> </w:t>
            </w:r>
            <w:r w:rsidR="003829F9">
              <w:rPr>
                <w:rFonts w:ascii="Arial" w:hAnsi="Arial" w:cs="Arial"/>
                <w:sz w:val="22"/>
                <w:szCs w:val="22"/>
              </w:rPr>
              <w:t xml:space="preserve">2.     </w:t>
            </w:r>
            <w:r w:rsidR="003829F9" w:rsidRPr="003829F9">
              <w:rPr>
                <w:rFonts w:ascii="Arial" w:hAnsi="Arial" w:cs="Arial"/>
                <w:sz w:val="22"/>
                <w:szCs w:val="22"/>
              </w:rPr>
              <w:t>Thematic Overviews</w:t>
            </w:r>
            <w:r w:rsidR="003829F9">
              <w:rPr>
                <w:rFonts w:ascii="Arial" w:hAnsi="Arial" w:cs="Arial"/>
                <w:sz w:val="22"/>
                <w:szCs w:val="22"/>
              </w:rPr>
              <w:t xml:space="preserve"> </w:t>
            </w:r>
          </w:p>
          <w:p w14:paraId="1DA33009" w14:textId="1C08769D" w:rsidR="003829F9" w:rsidRDefault="003829F9" w:rsidP="00EC2A34">
            <w:pPr>
              <w:rPr>
                <w:rFonts w:ascii="Arial" w:hAnsi="Arial" w:cs="Arial"/>
                <w:sz w:val="22"/>
                <w:szCs w:val="22"/>
              </w:rPr>
            </w:pPr>
            <w:r>
              <w:rPr>
                <w:rFonts w:ascii="Arial" w:hAnsi="Arial" w:cs="Arial"/>
                <w:sz w:val="22"/>
                <w:szCs w:val="22"/>
              </w:rPr>
              <w:t xml:space="preserve">         3</w:t>
            </w:r>
            <w:r w:rsidRPr="003829F9">
              <w:rPr>
                <w:rFonts w:ascii="Arial" w:hAnsi="Arial" w:cs="Arial"/>
                <w:sz w:val="22"/>
                <w:szCs w:val="22"/>
              </w:rPr>
              <w:t xml:space="preserve"> thematic papers</w:t>
            </w:r>
            <w:r w:rsidRPr="003829F9">
              <w:rPr>
                <w:rFonts w:ascii="Arial" w:hAnsi="Arial" w:cs="Arial"/>
                <w:sz w:val="22"/>
                <w:szCs w:val="22"/>
              </w:rPr>
              <w:tab/>
            </w:r>
            <w:r>
              <w:rPr>
                <w:rFonts w:ascii="Arial" w:hAnsi="Arial" w:cs="Arial"/>
                <w:sz w:val="22"/>
                <w:szCs w:val="22"/>
              </w:rPr>
              <w:t xml:space="preserve">    </w:t>
            </w:r>
            <w:r w:rsidRPr="003829F9">
              <w:rPr>
                <w:rFonts w:ascii="Arial" w:hAnsi="Arial" w:cs="Arial"/>
                <w:sz w:val="22"/>
                <w:szCs w:val="22"/>
              </w:rPr>
              <w:t>15 min each (45 min total)</w:t>
            </w:r>
            <w:r w:rsidRPr="003829F9">
              <w:rPr>
                <w:rFonts w:ascii="Arial" w:hAnsi="Arial" w:cs="Arial"/>
                <w:sz w:val="22"/>
                <w:szCs w:val="22"/>
              </w:rPr>
              <w:tab/>
            </w:r>
          </w:p>
          <w:p w14:paraId="0904EFD9" w14:textId="0EE00F38" w:rsidR="00610C59" w:rsidRDefault="003829F9" w:rsidP="00EC2A34">
            <w:pPr>
              <w:rPr>
                <w:rFonts w:ascii="Arial" w:hAnsi="Arial" w:cs="Arial"/>
                <w:sz w:val="22"/>
                <w:szCs w:val="22"/>
              </w:rPr>
            </w:pPr>
            <w:r>
              <w:rPr>
                <w:rFonts w:ascii="Arial" w:hAnsi="Arial" w:cs="Arial"/>
                <w:sz w:val="22"/>
                <w:szCs w:val="22"/>
              </w:rPr>
              <w:t xml:space="preserve">                                                                         </w:t>
            </w:r>
            <w:r w:rsidR="0092614D">
              <w:rPr>
                <w:rFonts w:ascii="Arial" w:hAnsi="Arial" w:cs="Arial"/>
                <w:sz w:val="22"/>
                <w:szCs w:val="22"/>
              </w:rPr>
              <w:t xml:space="preserve">   </w:t>
            </w:r>
            <w:r w:rsidRPr="003829F9">
              <w:rPr>
                <w:rFonts w:ascii="Arial" w:hAnsi="Arial" w:cs="Arial"/>
                <w:sz w:val="22"/>
                <w:szCs w:val="22"/>
              </w:rPr>
              <w:t>15 min</w:t>
            </w:r>
            <w:r w:rsidRPr="003829F9">
              <w:rPr>
                <w:rFonts w:ascii="Arial" w:hAnsi="Arial" w:cs="Arial"/>
                <w:sz w:val="22"/>
                <w:szCs w:val="22"/>
              </w:rPr>
              <w:tab/>
              <w:t>30 min</w:t>
            </w:r>
            <w:r>
              <w:rPr>
                <w:rFonts w:ascii="Arial" w:hAnsi="Arial" w:cs="Arial"/>
                <w:sz w:val="22"/>
                <w:szCs w:val="22"/>
              </w:rPr>
              <w:t xml:space="preserve">   </w:t>
            </w:r>
            <w:r w:rsidRPr="003829F9">
              <w:rPr>
                <w:rFonts w:ascii="Arial" w:hAnsi="Arial" w:cs="Arial"/>
                <w:sz w:val="22"/>
                <w:szCs w:val="22"/>
              </w:rPr>
              <w:t>90 min</w:t>
            </w:r>
          </w:p>
          <w:p w14:paraId="1F427006" w14:textId="01E4240B" w:rsidR="00F35867" w:rsidRPr="00610C59" w:rsidRDefault="00F35867" w:rsidP="00EC2A34">
            <w:pPr>
              <w:rPr>
                <w:rFonts w:ascii="Arial" w:hAnsi="Arial" w:cs="Arial"/>
                <w:sz w:val="22"/>
                <w:szCs w:val="22"/>
              </w:rPr>
            </w:pPr>
          </w:p>
        </w:tc>
      </w:tr>
      <w:tr w:rsidR="00EC2A34" w:rsidRPr="00610C59" w14:paraId="09CCF16B" w14:textId="77777777" w:rsidTr="00610C59">
        <w:tc>
          <w:tcPr>
            <w:tcW w:w="396" w:type="dxa"/>
          </w:tcPr>
          <w:p w14:paraId="1E5864AB" w14:textId="2D1F3CFB" w:rsidR="00EC2A34" w:rsidRPr="00610C59" w:rsidRDefault="00EC2A34" w:rsidP="00EC2A34">
            <w:pPr>
              <w:rPr>
                <w:rFonts w:ascii="Arial" w:hAnsi="Arial" w:cs="Arial"/>
                <w:sz w:val="22"/>
                <w:szCs w:val="22"/>
              </w:rPr>
            </w:pPr>
            <w:r w:rsidRPr="00610C59">
              <w:rPr>
                <w:rFonts w:ascii="Arial" w:hAnsi="Arial" w:cs="Arial"/>
                <w:sz w:val="22"/>
                <w:szCs w:val="22"/>
              </w:rPr>
              <w:t>4.</w:t>
            </w:r>
          </w:p>
        </w:tc>
        <w:tc>
          <w:tcPr>
            <w:tcW w:w="1299" w:type="dxa"/>
          </w:tcPr>
          <w:p w14:paraId="401AAF8A" w14:textId="5012C1B8" w:rsidR="00EC2A34" w:rsidRPr="00610C59" w:rsidRDefault="00EC2A34" w:rsidP="00EC2A34">
            <w:pPr>
              <w:rPr>
                <w:rFonts w:ascii="Arial" w:hAnsi="Arial" w:cs="Arial"/>
                <w:b/>
                <w:bCs/>
                <w:sz w:val="22"/>
                <w:szCs w:val="22"/>
              </w:rPr>
            </w:pPr>
            <w:r w:rsidRPr="00610C59">
              <w:rPr>
                <w:rFonts w:ascii="Arial" w:hAnsi="Arial" w:cs="Arial"/>
                <w:b/>
                <w:bCs/>
                <w:sz w:val="22"/>
                <w:szCs w:val="22"/>
              </w:rPr>
              <w:t>Panel Description</w:t>
            </w:r>
          </w:p>
        </w:tc>
        <w:tc>
          <w:tcPr>
            <w:tcW w:w="7655" w:type="dxa"/>
          </w:tcPr>
          <w:p w14:paraId="749C97CE" w14:textId="77777777" w:rsidR="00373EE8" w:rsidRDefault="00DB7851" w:rsidP="006372C8">
            <w:pPr>
              <w:pStyle w:val="NormalWeb"/>
              <w:jc w:val="both"/>
              <w:rPr>
                <w:rFonts w:ascii="Arial" w:hAnsi="Arial" w:cs="Arial"/>
                <w:color w:val="000000"/>
                <w:sz w:val="22"/>
                <w:szCs w:val="22"/>
              </w:rPr>
            </w:pPr>
            <w:r w:rsidRPr="00610C59">
              <w:rPr>
                <w:rFonts w:ascii="Arial" w:hAnsi="Arial" w:cs="Arial"/>
                <w:color w:val="000000"/>
                <w:sz w:val="22"/>
                <w:szCs w:val="22"/>
              </w:rPr>
              <w:t xml:space="preserve">Academic freedom stands as a cornerstone of higher education worldwide, enabling scholarly inquiry, innovation, and the cultivation of informed citizenship in diverse political landscapes. While substantial scholarship has examined its principles and challenges in contexts like Europe and North America, as well as emerging studies on Asia, significant gaps persist in understanding its dynamics within Southeast Asia's rapidly evolving authoritarian and democratic hybrids. This oversight gravely undermines efforts to safeguard intellectual autonomy, risking the erosion of democratic resilience, ethical research practices, and institutional vitality in a region pivotal to global geopolitical shifts. </w:t>
            </w:r>
          </w:p>
          <w:p w14:paraId="51747892" w14:textId="77777777" w:rsidR="00373EE8" w:rsidRDefault="00DB7851" w:rsidP="006372C8">
            <w:pPr>
              <w:pStyle w:val="NormalWeb"/>
              <w:jc w:val="both"/>
              <w:rPr>
                <w:rFonts w:ascii="Arial" w:hAnsi="Arial" w:cs="Arial"/>
                <w:color w:val="000000"/>
                <w:sz w:val="22"/>
                <w:szCs w:val="22"/>
              </w:rPr>
            </w:pPr>
            <w:r w:rsidRPr="00610C59">
              <w:rPr>
                <w:rFonts w:ascii="Arial" w:hAnsi="Arial" w:cs="Arial"/>
                <w:color w:val="000000"/>
                <w:sz w:val="22"/>
                <w:szCs w:val="22"/>
              </w:rPr>
              <w:t xml:space="preserve">This double panel directly confronts this lacuna by thematizing the interplay of </w:t>
            </w:r>
            <w:proofErr w:type="spellStart"/>
            <w:r w:rsidRPr="00610C59">
              <w:rPr>
                <w:rFonts w:ascii="Arial" w:hAnsi="Arial" w:cs="Arial"/>
                <w:color w:val="000000"/>
                <w:sz w:val="22"/>
                <w:szCs w:val="22"/>
              </w:rPr>
              <w:t>autocratization</w:t>
            </w:r>
            <w:proofErr w:type="spellEnd"/>
            <w:r w:rsidRPr="00610C59">
              <w:rPr>
                <w:rFonts w:ascii="Arial" w:hAnsi="Arial" w:cs="Arial"/>
                <w:color w:val="000000"/>
                <w:sz w:val="22"/>
                <w:szCs w:val="22"/>
              </w:rPr>
              <w:t xml:space="preserve">, research cultures, and institutional autonomy with academic freedom across Southeast Asia. It showcases, for instance, assessments of how varying political regimes influence freedom and autonomy; explorations of research norms that foster critical thinking amid autocratic pressures; evaluations of higher education autonomy constrained by neoliberal trends; and country-specific cases from Malaysia, Indonesia, the Philippines, and Thailand illustrating judicial protections, constitutional frameworks, and strategies against suppression. </w:t>
            </w:r>
          </w:p>
          <w:p w14:paraId="5ACD1C8B" w14:textId="402480AC" w:rsidR="006372C8" w:rsidRPr="00610C59" w:rsidRDefault="00DB7851" w:rsidP="00373EE8">
            <w:pPr>
              <w:pStyle w:val="NormalWeb"/>
              <w:jc w:val="both"/>
              <w:rPr>
                <w:rFonts w:ascii="Arial" w:hAnsi="Arial" w:cs="Arial"/>
                <w:color w:val="000000"/>
                <w:sz w:val="22"/>
                <w:szCs w:val="22"/>
              </w:rPr>
            </w:pPr>
            <w:r w:rsidRPr="00610C59">
              <w:rPr>
                <w:rFonts w:ascii="Arial" w:hAnsi="Arial" w:cs="Arial"/>
                <w:color w:val="000000"/>
                <w:sz w:val="22"/>
                <w:szCs w:val="22"/>
              </w:rPr>
              <w:lastRenderedPageBreak/>
              <w:t>Ultimately, th</w:t>
            </w:r>
            <w:r w:rsidR="00F35867">
              <w:rPr>
                <w:rFonts w:ascii="Arial" w:hAnsi="Arial" w:cs="Arial"/>
                <w:color w:val="000000"/>
                <w:sz w:val="22"/>
                <w:szCs w:val="22"/>
              </w:rPr>
              <w:t>is</w:t>
            </w:r>
            <w:r w:rsidRPr="00610C59">
              <w:rPr>
                <w:rFonts w:ascii="Arial" w:hAnsi="Arial" w:cs="Arial"/>
                <w:color w:val="000000"/>
                <w:sz w:val="22"/>
                <w:szCs w:val="22"/>
              </w:rPr>
              <w:t xml:space="preserve"> </w:t>
            </w:r>
            <w:r w:rsidR="00F35867">
              <w:rPr>
                <w:rFonts w:ascii="Arial" w:hAnsi="Arial" w:cs="Arial"/>
                <w:color w:val="000000"/>
                <w:sz w:val="22"/>
                <w:szCs w:val="22"/>
              </w:rPr>
              <w:t>double panel</w:t>
            </w:r>
            <w:r w:rsidRPr="00610C59">
              <w:rPr>
                <w:rFonts w:ascii="Arial" w:hAnsi="Arial" w:cs="Arial"/>
                <w:color w:val="000000"/>
                <w:sz w:val="22"/>
                <w:szCs w:val="22"/>
              </w:rPr>
              <w:t xml:space="preserve"> enrich broader discourses on human rights and knowledge economies, revealing pathways for regional and global advocacy to fortify academia as a bulwark against authoritarianism and a driver of societal progress.</w:t>
            </w:r>
          </w:p>
        </w:tc>
      </w:tr>
    </w:tbl>
    <w:p w14:paraId="5C44FC9E" w14:textId="77777777" w:rsidR="00BA2946" w:rsidRDefault="00BA2946" w:rsidP="008E44B6">
      <w:pPr>
        <w:tabs>
          <w:tab w:val="left" w:pos="6502"/>
        </w:tabs>
        <w:rPr>
          <w:rFonts w:ascii="Arial" w:hAnsi="Arial" w:cs="Arial"/>
          <w:sz w:val="22"/>
          <w:szCs w:val="22"/>
          <w:lang w:bidi="th-TH"/>
        </w:rPr>
      </w:pPr>
    </w:p>
    <w:p w14:paraId="49108C05" w14:textId="77777777" w:rsidR="00BA2946" w:rsidRDefault="00BA2946" w:rsidP="008E44B6">
      <w:pPr>
        <w:tabs>
          <w:tab w:val="left" w:pos="6502"/>
        </w:tabs>
        <w:rPr>
          <w:rFonts w:ascii="Arial" w:hAnsi="Arial" w:cs="Arial"/>
          <w:sz w:val="22"/>
          <w:szCs w:val="22"/>
          <w:lang w:bidi="th-TH"/>
        </w:rPr>
      </w:pPr>
    </w:p>
    <w:tbl>
      <w:tblPr>
        <w:tblStyle w:val="TableGrid"/>
        <w:tblW w:w="0" w:type="auto"/>
        <w:tblLook w:val="04A0" w:firstRow="1" w:lastRow="0" w:firstColumn="1" w:lastColumn="0" w:noHBand="0" w:noVBand="1"/>
      </w:tblPr>
      <w:tblGrid>
        <w:gridCol w:w="2206"/>
        <w:gridCol w:w="2168"/>
        <w:gridCol w:w="2180"/>
        <w:gridCol w:w="2796"/>
      </w:tblGrid>
      <w:tr w:rsidR="00BA2946" w:rsidRPr="00610C59" w14:paraId="6165A178" w14:textId="77777777" w:rsidTr="0082485F">
        <w:tc>
          <w:tcPr>
            <w:tcW w:w="2206" w:type="dxa"/>
          </w:tcPr>
          <w:p w14:paraId="744AEC77" w14:textId="77777777" w:rsidR="00BA2946" w:rsidRPr="00610C59" w:rsidRDefault="00BA2946" w:rsidP="0082485F">
            <w:pPr>
              <w:tabs>
                <w:tab w:val="left" w:pos="6502"/>
              </w:tabs>
              <w:rPr>
                <w:rFonts w:ascii="Arial" w:hAnsi="Arial" w:cs="Arial"/>
                <w:b/>
                <w:bCs/>
                <w:sz w:val="22"/>
                <w:szCs w:val="22"/>
              </w:rPr>
            </w:pPr>
            <w:r w:rsidRPr="00610C59">
              <w:rPr>
                <w:rFonts w:ascii="Arial" w:hAnsi="Arial" w:cs="Arial"/>
                <w:b/>
                <w:bCs/>
                <w:sz w:val="22"/>
                <w:szCs w:val="22"/>
              </w:rPr>
              <w:t>Discussant</w:t>
            </w:r>
          </w:p>
        </w:tc>
        <w:tc>
          <w:tcPr>
            <w:tcW w:w="7144" w:type="dxa"/>
            <w:gridSpan w:val="3"/>
          </w:tcPr>
          <w:p w14:paraId="795E8A63" w14:textId="77777777" w:rsidR="00BA2946" w:rsidRPr="00610C59" w:rsidRDefault="00BA2946" w:rsidP="0082485F">
            <w:pPr>
              <w:tabs>
                <w:tab w:val="left" w:pos="6502"/>
              </w:tabs>
              <w:rPr>
                <w:rFonts w:ascii="Arial" w:hAnsi="Arial" w:cs="Arial"/>
                <w:sz w:val="22"/>
                <w:szCs w:val="22"/>
              </w:rPr>
            </w:pPr>
            <w:r w:rsidRPr="00610C59">
              <w:rPr>
                <w:rFonts w:ascii="Arial" w:hAnsi="Arial" w:cs="Arial"/>
                <w:sz w:val="22"/>
                <w:szCs w:val="22"/>
              </w:rPr>
              <w:t xml:space="preserve">Prof. Dr. Cherian George, </w:t>
            </w:r>
          </w:p>
          <w:p w14:paraId="3AEFED3A" w14:textId="44B4855A" w:rsidR="00BA2946" w:rsidRPr="00610C59" w:rsidRDefault="00BA2946" w:rsidP="0082485F">
            <w:pPr>
              <w:tabs>
                <w:tab w:val="left" w:pos="6502"/>
              </w:tabs>
              <w:rPr>
                <w:rFonts w:ascii="Arial" w:hAnsi="Arial" w:cs="Arial"/>
                <w:sz w:val="22"/>
                <w:szCs w:val="22"/>
              </w:rPr>
            </w:pPr>
            <w:r w:rsidRPr="00610C59">
              <w:rPr>
                <w:rFonts w:ascii="Arial" w:hAnsi="Arial" w:cs="Arial"/>
                <w:sz w:val="22"/>
                <w:szCs w:val="22"/>
              </w:rPr>
              <w:t>Professor of Media Studies at Hong Kong Baptist University, China</w:t>
            </w:r>
            <w:r>
              <w:rPr>
                <w:rFonts w:ascii="Arial" w:hAnsi="Arial" w:cs="Arial"/>
                <w:sz w:val="22"/>
                <w:szCs w:val="22"/>
              </w:rPr>
              <w:t xml:space="preserve"> (Expert on Media and academic freedom, originally from Singapore)</w:t>
            </w:r>
          </w:p>
          <w:p w14:paraId="216CAE40" w14:textId="77777777" w:rsidR="00BA2946" w:rsidRPr="00610C59" w:rsidRDefault="00BA2946" w:rsidP="0082485F">
            <w:pPr>
              <w:tabs>
                <w:tab w:val="left" w:pos="6502"/>
              </w:tabs>
              <w:rPr>
                <w:rFonts w:ascii="Arial" w:hAnsi="Arial" w:cs="Arial"/>
                <w:sz w:val="22"/>
                <w:szCs w:val="22"/>
              </w:rPr>
            </w:pPr>
          </w:p>
        </w:tc>
      </w:tr>
      <w:tr w:rsidR="00BA2946" w:rsidRPr="00610C59" w14:paraId="5A61BDE8" w14:textId="77777777" w:rsidTr="0082485F">
        <w:tc>
          <w:tcPr>
            <w:tcW w:w="2206" w:type="dxa"/>
            <w:vMerge w:val="restart"/>
          </w:tcPr>
          <w:p w14:paraId="12F058BB" w14:textId="77777777" w:rsidR="00BA2946" w:rsidRPr="00610C59" w:rsidRDefault="00BA2946" w:rsidP="00BA2946">
            <w:pPr>
              <w:tabs>
                <w:tab w:val="left" w:pos="6502"/>
              </w:tabs>
              <w:rPr>
                <w:rFonts w:ascii="Arial" w:hAnsi="Arial" w:cs="Arial"/>
                <w:b/>
                <w:bCs/>
                <w:sz w:val="22"/>
                <w:szCs w:val="22"/>
              </w:rPr>
            </w:pPr>
            <w:r w:rsidRPr="00610C59">
              <w:rPr>
                <w:rFonts w:ascii="Arial" w:hAnsi="Arial" w:cs="Arial"/>
                <w:b/>
                <w:bCs/>
                <w:sz w:val="22"/>
                <w:szCs w:val="22"/>
              </w:rPr>
              <w:t>Part 1:</w:t>
            </w:r>
          </w:p>
          <w:p w14:paraId="2988B322" w14:textId="2C057AD5" w:rsidR="00BA2946" w:rsidRPr="00610C59" w:rsidRDefault="00BA2946" w:rsidP="00BA2946">
            <w:pPr>
              <w:tabs>
                <w:tab w:val="left" w:pos="6502"/>
              </w:tabs>
              <w:rPr>
                <w:rFonts w:ascii="Arial" w:hAnsi="Arial" w:cs="Arial"/>
                <w:sz w:val="22"/>
                <w:szCs w:val="22"/>
              </w:rPr>
            </w:pPr>
            <w:r w:rsidRPr="00610C59">
              <w:rPr>
                <w:rFonts w:ascii="Arial" w:hAnsi="Arial" w:cs="Arial"/>
                <w:b/>
                <w:bCs/>
                <w:sz w:val="22"/>
                <w:szCs w:val="22"/>
              </w:rPr>
              <w:t>Country Case Studies</w:t>
            </w:r>
          </w:p>
        </w:tc>
        <w:tc>
          <w:tcPr>
            <w:tcW w:w="2168" w:type="dxa"/>
          </w:tcPr>
          <w:p w14:paraId="7C4CF7D7" w14:textId="13BD6784" w:rsidR="00BA2946" w:rsidRPr="00BA2946" w:rsidRDefault="00BA2946" w:rsidP="00BA2946">
            <w:pPr>
              <w:pStyle w:val="ListParagraph"/>
              <w:numPr>
                <w:ilvl w:val="0"/>
                <w:numId w:val="5"/>
              </w:numPr>
              <w:tabs>
                <w:tab w:val="left" w:pos="6502"/>
              </w:tabs>
              <w:rPr>
                <w:rFonts w:ascii="Arial" w:hAnsi="Arial" w:cs="Arial"/>
                <w:szCs w:val="22"/>
              </w:rPr>
            </w:pPr>
            <w:r w:rsidRPr="00BA2946">
              <w:rPr>
                <w:rFonts w:ascii="Arial" w:hAnsi="Arial" w:cs="Arial"/>
                <w:szCs w:val="22"/>
              </w:rPr>
              <w:t xml:space="preserve">Assoc. Prof. Dr. </w:t>
            </w:r>
            <w:proofErr w:type="spellStart"/>
            <w:r w:rsidRPr="00BA2946">
              <w:rPr>
                <w:rFonts w:ascii="Arial" w:hAnsi="Arial" w:cs="Arial"/>
                <w:szCs w:val="22"/>
              </w:rPr>
              <w:t>Ratnaria</w:t>
            </w:r>
            <w:proofErr w:type="spellEnd"/>
            <w:r w:rsidRPr="00BA2946">
              <w:rPr>
                <w:rFonts w:ascii="Arial" w:hAnsi="Arial" w:cs="Arial"/>
                <w:szCs w:val="22"/>
              </w:rPr>
              <w:t xml:space="preserve"> Wahid</w:t>
            </w:r>
          </w:p>
        </w:tc>
        <w:tc>
          <w:tcPr>
            <w:tcW w:w="2180" w:type="dxa"/>
          </w:tcPr>
          <w:p w14:paraId="2FCCE0CD" w14:textId="39361869" w:rsidR="00BA2946" w:rsidRPr="00610C59" w:rsidRDefault="00BA2946" w:rsidP="00BA2946">
            <w:pPr>
              <w:tabs>
                <w:tab w:val="left" w:pos="6502"/>
              </w:tabs>
              <w:rPr>
                <w:rFonts w:ascii="Arial" w:hAnsi="Arial" w:cs="Arial"/>
                <w:sz w:val="22"/>
                <w:szCs w:val="22"/>
              </w:rPr>
            </w:pPr>
            <w:r w:rsidRPr="00610C59">
              <w:rPr>
                <w:rFonts w:ascii="Arial" w:hAnsi="Arial" w:cs="Arial"/>
                <w:sz w:val="22"/>
                <w:szCs w:val="22"/>
              </w:rPr>
              <w:t xml:space="preserve">School of International Studies, </w:t>
            </w:r>
            <w:proofErr w:type="spellStart"/>
            <w:r w:rsidRPr="00610C59">
              <w:rPr>
                <w:rFonts w:ascii="Arial" w:hAnsi="Arial" w:cs="Arial"/>
                <w:sz w:val="22"/>
                <w:szCs w:val="22"/>
              </w:rPr>
              <w:t>Universiti</w:t>
            </w:r>
            <w:proofErr w:type="spellEnd"/>
            <w:r w:rsidRPr="00610C59">
              <w:rPr>
                <w:rFonts w:ascii="Arial" w:hAnsi="Arial" w:cs="Arial"/>
                <w:sz w:val="22"/>
                <w:szCs w:val="22"/>
              </w:rPr>
              <w:t xml:space="preserve"> Utara Malaysia</w:t>
            </w:r>
          </w:p>
        </w:tc>
        <w:tc>
          <w:tcPr>
            <w:tcW w:w="2796" w:type="dxa"/>
          </w:tcPr>
          <w:p w14:paraId="61D8EF50" w14:textId="6B535506" w:rsidR="00BA2946" w:rsidRPr="00610C59" w:rsidRDefault="00BA2946" w:rsidP="00BA2946">
            <w:pPr>
              <w:tabs>
                <w:tab w:val="left" w:pos="6502"/>
              </w:tabs>
              <w:rPr>
                <w:rFonts w:ascii="Arial" w:hAnsi="Arial" w:cs="Arial"/>
                <w:i/>
                <w:iCs/>
                <w:sz w:val="22"/>
                <w:szCs w:val="22"/>
              </w:rPr>
            </w:pPr>
            <w:r w:rsidRPr="00610C59">
              <w:rPr>
                <w:rFonts w:ascii="Arial" w:hAnsi="Arial" w:cs="Arial"/>
                <w:i/>
                <w:iCs/>
                <w:sz w:val="22"/>
                <w:szCs w:val="22"/>
              </w:rPr>
              <w:t>The Contested Terrain of Academic Freedom in Malaysia</w:t>
            </w:r>
          </w:p>
        </w:tc>
      </w:tr>
      <w:tr w:rsidR="00BA2946" w:rsidRPr="00610C59" w14:paraId="6735ABE1" w14:textId="77777777" w:rsidTr="0082485F">
        <w:tc>
          <w:tcPr>
            <w:tcW w:w="2206" w:type="dxa"/>
            <w:vMerge/>
          </w:tcPr>
          <w:p w14:paraId="72BF520F" w14:textId="77777777" w:rsidR="00BA2946" w:rsidRPr="00610C59" w:rsidRDefault="00BA2946" w:rsidP="00BA2946">
            <w:pPr>
              <w:tabs>
                <w:tab w:val="left" w:pos="6502"/>
              </w:tabs>
              <w:rPr>
                <w:rFonts w:ascii="Arial" w:hAnsi="Arial" w:cs="Arial"/>
                <w:sz w:val="22"/>
                <w:szCs w:val="22"/>
              </w:rPr>
            </w:pPr>
          </w:p>
        </w:tc>
        <w:tc>
          <w:tcPr>
            <w:tcW w:w="2168" w:type="dxa"/>
          </w:tcPr>
          <w:p w14:paraId="30BBEF0E" w14:textId="76F1C20F" w:rsidR="00BA2946" w:rsidRPr="00610C59" w:rsidRDefault="00BA2946" w:rsidP="00BA2946">
            <w:pPr>
              <w:pStyle w:val="ListParagraph"/>
              <w:numPr>
                <w:ilvl w:val="0"/>
                <w:numId w:val="5"/>
              </w:numPr>
              <w:tabs>
                <w:tab w:val="left" w:pos="6502"/>
              </w:tabs>
              <w:ind w:left="337"/>
              <w:rPr>
                <w:rFonts w:ascii="Arial" w:hAnsi="Arial" w:cs="Arial"/>
                <w:szCs w:val="22"/>
              </w:rPr>
            </w:pPr>
            <w:r w:rsidRPr="00610C59">
              <w:rPr>
                <w:rFonts w:ascii="Arial" w:hAnsi="Arial" w:cs="Arial"/>
                <w:szCs w:val="22"/>
              </w:rPr>
              <w:t>Assoc. Prof. Dr. Herlambang P. Wiratraman</w:t>
            </w:r>
          </w:p>
        </w:tc>
        <w:tc>
          <w:tcPr>
            <w:tcW w:w="2180" w:type="dxa"/>
          </w:tcPr>
          <w:p w14:paraId="34CEAB40" w14:textId="33AEB575" w:rsidR="00BA2946" w:rsidRPr="00610C59" w:rsidRDefault="00BA2946" w:rsidP="00BA2946">
            <w:pPr>
              <w:tabs>
                <w:tab w:val="left" w:pos="6502"/>
              </w:tabs>
              <w:rPr>
                <w:rFonts w:ascii="Arial" w:hAnsi="Arial" w:cs="Arial"/>
                <w:sz w:val="22"/>
                <w:szCs w:val="22"/>
              </w:rPr>
            </w:pPr>
            <w:r w:rsidRPr="00610C59">
              <w:rPr>
                <w:rFonts w:ascii="Arial" w:hAnsi="Arial" w:cs="Arial"/>
                <w:sz w:val="22"/>
                <w:szCs w:val="22"/>
              </w:rPr>
              <w:t>Faculty of Law, Universitas Gadjah Mada, Indonesia</w:t>
            </w:r>
          </w:p>
        </w:tc>
        <w:tc>
          <w:tcPr>
            <w:tcW w:w="2796" w:type="dxa"/>
          </w:tcPr>
          <w:p w14:paraId="778C94CE" w14:textId="507414A8" w:rsidR="00BA2946" w:rsidRPr="00610C59" w:rsidRDefault="00BA2946" w:rsidP="00BA2946">
            <w:pPr>
              <w:tabs>
                <w:tab w:val="left" w:pos="6502"/>
              </w:tabs>
              <w:rPr>
                <w:rFonts w:ascii="Arial" w:hAnsi="Arial" w:cs="Arial"/>
                <w:i/>
                <w:iCs/>
                <w:sz w:val="22"/>
                <w:szCs w:val="22"/>
              </w:rPr>
            </w:pPr>
            <w:r w:rsidRPr="00610C59">
              <w:rPr>
                <w:rFonts w:ascii="Arial" w:hAnsi="Arial" w:cs="Arial"/>
                <w:i/>
                <w:iCs/>
                <w:sz w:val="22"/>
                <w:szCs w:val="22"/>
              </w:rPr>
              <w:t>Judicializing Protection for Intellectual Freedom: Courts' Role in Safeguarding Indonesian Scholars</w:t>
            </w:r>
          </w:p>
        </w:tc>
      </w:tr>
      <w:tr w:rsidR="00BA2946" w:rsidRPr="00610C59" w14:paraId="0E4EEB98" w14:textId="77777777" w:rsidTr="0082485F">
        <w:tc>
          <w:tcPr>
            <w:tcW w:w="2206" w:type="dxa"/>
            <w:vMerge/>
          </w:tcPr>
          <w:p w14:paraId="110FB91F" w14:textId="77777777" w:rsidR="00BA2946" w:rsidRPr="00610C59" w:rsidRDefault="00BA2946" w:rsidP="00BA2946">
            <w:pPr>
              <w:tabs>
                <w:tab w:val="left" w:pos="6502"/>
              </w:tabs>
              <w:rPr>
                <w:rFonts w:ascii="Arial" w:hAnsi="Arial" w:cs="Arial"/>
                <w:sz w:val="22"/>
                <w:szCs w:val="22"/>
              </w:rPr>
            </w:pPr>
          </w:p>
        </w:tc>
        <w:tc>
          <w:tcPr>
            <w:tcW w:w="2168" w:type="dxa"/>
          </w:tcPr>
          <w:p w14:paraId="233DA0B2" w14:textId="104951FE" w:rsidR="00BA2946" w:rsidRPr="00610C59" w:rsidRDefault="00BA2946" w:rsidP="00BA2946">
            <w:pPr>
              <w:pStyle w:val="ListParagraph"/>
              <w:numPr>
                <w:ilvl w:val="0"/>
                <w:numId w:val="5"/>
              </w:numPr>
              <w:tabs>
                <w:tab w:val="left" w:pos="6502"/>
              </w:tabs>
              <w:ind w:left="337"/>
              <w:rPr>
                <w:rFonts w:ascii="Arial" w:hAnsi="Arial" w:cs="Arial"/>
                <w:szCs w:val="22"/>
              </w:rPr>
            </w:pPr>
            <w:r w:rsidRPr="00610C59">
              <w:rPr>
                <w:rFonts w:ascii="Arial" w:hAnsi="Arial" w:cs="Arial"/>
                <w:szCs w:val="22"/>
              </w:rPr>
              <w:t>Assoc. Dean Ma. Ngina Teresa V. Chan-Gonzaga</w:t>
            </w:r>
          </w:p>
        </w:tc>
        <w:tc>
          <w:tcPr>
            <w:tcW w:w="2180" w:type="dxa"/>
          </w:tcPr>
          <w:p w14:paraId="0E4A9C9E" w14:textId="67DB3265" w:rsidR="00BA2946" w:rsidRPr="00610C59" w:rsidRDefault="00BA2946" w:rsidP="00BA2946">
            <w:pPr>
              <w:tabs>
                <w:tab w:val="left" w:pos="6502"/>
              </w:tabs>
              <w:rPr>
                <w:rFonts w:ascii="Arial" w:hAnsi="Arial" w:cs="Arial"/>
                <w:sz w:val="22"/>
                <w:szCs w:val="22"/>
              </w:rPr>
            </w:pPr>
            <w:r w:rsidRPr="00610C59">
              <w:rPr>
                <w:rFonts w:ascii="Arial" w:hAnsi="Arial" w:cs="Arial"/>
                <w:sz w:val="22"/>
                <w:szCs w:val="22"/>
              </w:rPr>
              <w:t>Ateneo de Manila University School of Law, Philippines</w:t>
            </w:r>
          </w:p>
        </w:tc>
        <w:tc>
          <w:tcPr>
            <w:tcW w:w="2796" w:type="dxa"/>
          </w:tcPr>
          <w:p w14:paraId="5F67059B" w14:textId="5F294493" w:rsidR="00BA2946" w:rsidRPr="00610C59" w:rsidRDefault="00BA2946" w:rsidP="00BA2946">
            <w:pPr>
              <w:tabs>
                <w:tab w:val="left" w:pos="6502"/>
              </w:tabs>
              <w:rPr>
                <w:rFonts w:ascii="Arial" w:hAnsi="Arial" w:cs="Arial"/>
                <w:i/>
                <w:iCs/>
                <w:sz w:val="22"/>
                <w:szCs w:val="22"/>
              </w:rPr>
            </w:pPr>
            <w:r w:rsidRPr="00610C59">
              <w:rPr>
                <w:rFonts w:ascii="Arial" w:hAnsi="Arial" w:cs="Arial"/>
                <w:i/>
                <w:iCs/>
                <w:sz w:val="22"/>
                <w:szCs w:val="22"/>
              </w:rPr>
              <w:t xml:space="preserve">Academic Freedom in the Philippines: </w:t>
            </w:r>
            <w:proofErr w:type="gramStart"/>
            <w:r w:rsidRPr="00610C59">
              <w:rPr>
                <w:rFonts w:ascii="Arial" w:hAnsi="Arial" w:cs="Arial"/>
                <w:i/>
                <w:iCs/>
                <w:sz w:val="22"/>
                <w:szCs w:val="22"/>
              </w:rPr>
              <w:t>State of Affairs</w:t>
            </w:r>
            <w:proofErr w:type="gramEnd"/>
            <w:r w:rsidRPr="00610C59">
              <w:rPr>
                <w:rFonts w:ascii="Arial" w:hAnsi="Arial" w:cs="Arial"/>
                <w:i/>
                <w:iCs/>
                <w:sz w:val="22"/>
                <w:szCs w:val="22"/>
              </w:rPr>
              <w:t>, Contemporary Challenges, and Future Prospects</w:t>
            </w:r>
          </w:p>
        </w:tc>
      </w:tr>
      <w:tr w:rsidR="00BA2946" w:rsidRPr="00610C59" w14:paraId="256FFB40" w14:textId="77777777" w:rsidTr="0082485F">
        <w:tc>
          <w:tcPr>
            <w:tcW w:w="2206" w:type="dxa"/>
            <w:vMerge/>
          </w:tcPr>
          <w:p w14:paraId="1C5617CD" w14:textId="77777777" w:rsidR="00BA2946" w:rsidRPr="00610C59" w:rsidRDefault="00BA2946" w:rsidP="00BA2946">
            <w:pPr>
              <w:tabs>
                <w:tab w:val="left" w:pos="6502"/>
              </w:tabs>
              <w:rPr>
                <w:rFonts w:ascii="Arial" w:hAnsi="Arial" w:cs="Arial"/>
                <w:sz w:val="22"/>
                <w:szCs w:val="22"/>
              </w:rPr>
            </w:pPr>
          </w:p>
        </w:tc>
        <w:tc>
          <w:tcPr>
            <w:tcW w:w="2168" w:type="dxa"/>
          </w:tcPr>
          <w:p w14:paraId="2DDBD496" w14:textId="4D38AD38" w:rsidR="00BA2946" w:rsidRPr="00610C59" w:rsidRDefault="00BA2946" w:rsidP="00BA2946">
            <w:pPr>
              <w:pStyle w:val="ListParagraph"/>
              <w:numPr>
                <w:ilvl w:val="0"/>
                <w:numId w:val="5"/>
              </w:numPr>
              <w:tabs>
                <w:tab w:val="left" w:pos="6502"/>
              </w:tabs>
              <w:ind w:left="337"/>
              <w:rPr>
                <w:rFonts w:ascii="Arial" w:hAnsi="Arial" w:cs="Arial"/>
                <w:szCs w:val="22"/>
              </w:rPr>
            </w:pPr>
            <w:r w:rsidRPr="00610C59">
              <w:rPr>
                <w:rFonts w:ascii="Arial" w:hAnsi="Arial" w:cs="Arial"/>
                <w:szCs w:val="22"/>
              </w:rPr>
              <w:t>Asst. Prof. Dr. Pat Niyomsilp</w:t>
            </w:r>
          </w:p>
        </w:tc>
        <w:tc>
          <w:tcPr>
            <w:tcW w:w="2180" w:type="dxa"/>
          </w:tcPr>
          <w:p w14:paraId="65775269" w14:textId="125A13D0" w:rsidR="00BA2946" w:rsidRPr="00610C59" w:rsidRDefault="00BA2946" w:rsidP="00BA2946">
            <w:pPr>
              <w:tabs>
                <w:tab w:val="left" w:pos="6502"/>
              </w:tabs>
              <w:rPr>
                <w:rFonts w:ascii="Arial" w:hAnsi="Arial" w:cs="Arial"/>
                <w:sz w:val="22"/>
                <w:szCs w:val="22"/>
              </w:rPr>
            </w:pPr>
            <w:r w:rsidRPr="00610C59">
              <w:rPr>
                <w:rFonts w:ascii="Arial" w:hAnsi="Arial" w:cs="Arial"/>
                <w:sz w:val="22"/>
                <w:szCs w:val="22"/>
              </w:rPr>
              <w:t>Faculty of Law, Chulalongkorn University, Thailand</w:t>
            </w:r>
          </w:p>
        </w:tc>
        <w:tc>
          <w:tcPr>
            <w:tcW w:w="2796" w:type="dxa"/>
          </w:tcPr>
          <w:p w14:paraId="24B6DD91" w14:textId="77777777" w:rsidR="00BA2946" w:rsidRPr="00610C59" w:rsidRDefault="00BA2946" w:rsidP="00BA2946">
            <w:pPr>
              <w:rPr>
                <w:rFonts w:ascii="Arial" w:hAnsi="Arial" w:cs="Arial"/>
                <w:sz w:val="22"/>
                <w:szCs w:val="22"/>
              </w:rPr>
            </w:pPr>
            <w:r w:rsidRPr="00610C59">
              <w:rPr>
                <w:rFonts w:ascii="Arial" w:hAnsi="Arial" w:cs="Arial"/>
                <w:i/>
                <w:iCs/>
                <w:sz w:val="22"/>
                <w:szCs w:val="22"/>
              </w:rPr>
              <w:t>Academic Freedom in Thailand: Candle Lighting through the Midnight Midst</w:t>
            </w:r>
          </w:p>
          <w:p w14:paraId="2DA170C5" w14:textId="77777777" w:rsidR="00BA2946" w:rsidRPr="00610C59" w:rsidRDefault="00BA2946" w:rsidP="00BA2946">
            <w:pPr>
              <w:tabs>
                <w:tab w:val="left" w:pos="6502"/>
              </w:tabs>
              <w:rPr>
                <w:rFonts w:ascii="Arial" w:hAnsi="Arial" w:cs="Arial"/>
                <w:i/>
                <w:iCs/>
                <w:sz w:val="22"/>
                <w:szCs w:val="22"/>
              </w:rPr>
            </w:pPr>
          </w:p>
        </w:tc>
      </w:tr>
      <w:tr w:rsidR="00BA2946" w:rsidRPr="00610C59" w14:paraId="596CED3E" w14:textId="77777777" w:rsidTr="0082485F">
        <w:tc>
          <w:tcPr>
            <w:tcW w:w="2206" w:type="dxa"/>
            <w:vMerge w:val="restart"/>
          </w:tcPr>
          <w:p w14:paraId="04B0E95C" w14:textId="77777777" w:rsidR="00BA2946" w:rsidRPr="00610C59" w:rsidRDefault="00BA2946" w:rsidP="00BA2946">
            <w:pPr>
              <w:tabs>
                <w:tab w:val="left" w:pos="6502"/>
              </w:tabs>
              <w:rPr>
                <w:rFonts w:ascii="Arial" w:hAnsi="Arial" w:cs="Arial"/>
                <w:b/>
                <w:bCs/>
                <w:sz w:val="22"/>
                <w:szCs w:val="22"/>
              </w:rPr>
            </w:pPr>
            <w:r w:rsidRPr="00610C59">
              <w:rPr>
                <w:rFonts w:ascii="Arial" w:hAnsi="Arial" w:cs="Arial"/>
                <w:b/>
                <w:bCs/>
                <w:sz w:val="22"/>
                <w:szCs w:val="22"/>
              </w:rPr>
              <w:t xml:space="preserve">Part 2: </w:t>
            </w:r>
          </w:p>
          <w:p w14:paraId="43235A4B" w14:textId="77777777" w:rsidR="00BA2946" w:rsidRDefault="00BA2946" w:rsidP="00BA2946">
            <w:pPr>
              <w:tabs>
                <w:tab w:val="left" w:pos="6502"/>
              </w:tabs>
              <w:rPr>
                <w:rFonts w:ascii="Arial" w:hAnsi="Arial" w:cs="Arial"/>
                <w:b/>
                <w:bCs/>
                <w:sz w:val="22"/>
                <w:szCs w:val="22"/>
              </w:rPr>
            </w:pPr>
            <w:r w:rsidRPr="00610C59">
              <w:rPr>
                <w:rFonts w:ascii="Arial" w:hAnsi="Arial" w:cs="Arial"/>
                <w:b/>
                <w:bCs/>
                <w:sz w:val="22"/>
                <w:szCs w:val="22"/>
              </w:rPr>
              <w:t>Thematic Overviews</w:t>
            </w:r>
          </w:p>
          <w:p w14:paraId="7D9BF515" w14:textId="77777777" w:rsidR="003D5DF8" w:rsidRDefault="003D5DF8" w:rsidP="00BA2946">
            <w:pPr>
              <w:tabs>
                <w:tab w:val="left" w:pos="6502"/>
              </w:tabs>
              <w:rPr>
                <w:rFonts w:ascii="Arial" w:hAnsi="Arial" w:cs="Arial"/>
                <w:b/>
                <w:bCs/>
                <w:sz w:val="22"/>
                <w:szCs w:val="22"/>
              </w:rPr>
            </w:pPr>
          </w:p>
          <w:p w14:paraId="62303E78" w14:textId="77777777" w:rsidR="003D5DF8" w:rsidRDefault="003D5DF8" w:rsidP="00BA2946">
            <w:pPr>
              <w:tabs>
                <w:tab w:val="left" w:pos="6502"/>
              </w:tabs>
              <w:rPr>
                <w:rFonts w:ascii="Arial" w:hAnsi="Arial" w:cs="Arial"/>
                <w:b/>
                <w:bCs/>
                <w:sz w:val="22"/>
                <w:szCs w:val="22"/>
              </w:rPr>
            </w:pPr>
          </w:p>
          <w:p w14:paraId="02A38B55" w14:textId="77777777" w:rsidR="003D5DF8" w:rsidRDefault="003D5DF8" w:rsidP="00BA2946">
            <w:pPr>
              <w:tabs>
                <w:tab w:val="left" w:pos="6502"/>
              </w:tabs>
              <w:rPr>
                <w:rFonts w:ascii="Arial" w:hAnsi="Arial" w:cs="Arial"/>
                <w:b/>
                <w:bCs/>
                <w:sz w:val="22"/>
                <w:szCs w:val="22"/>
              </w:rPr>
            </w:pPr>
          </w:p>
          <w:p w14:paraId="40E7F1BF" w14:textId="77777777" w:rsidR="003D5DF8" w:rsidRDefault="003D5DF8" w:rsidP="00BA2946">
            <w:pPr>
              <w:tabs>
                <w:tab w:val="left" w:pos="6502"/>
              </w:tabs>
              <w:rPr>
                <w:rFonts w:ascii="Arial" w:hAnsi="Arial" w:cs="Arial"/>
                <w:b/>
                <w:bCs/>
                <w:sz w:val="22"/>
                <w:szCs w:val="22"/>
              </w:rPr>
            </w:pPr>
          </w:p>
          <w:p w14:paraId="2505BB26" w14:textId="77777777" w:rsidR="003D5DF8" w:rsidRDefault="003D5DF8" w:rsidP="00BA2946">
            <w:pPr>
              <w:tabs>
                <w:tab w:val="left" w:pos="6502"/>
              </w:tabs>
              <w:rPr>
                <w:rFonts w:ascii="Arial" w:hAnsi="Arial" w:cs="Arial"/>
                <w:b/>
                <w:bCs/>
                <w:sz w:val="22"/>
                <w:szCs w:val="22"/>
              </w:rPr>
            </w:pPr>
          </w:p>
          <w:p w14:paraId="7D9AFC97" w14:textId="77777777" w:rsidR="003D5DF8" w:rsidRDefault="003D5DF8" w:rsidP="00BA2946">
            <w:pPr>
              <w:tabs>
                <w:tab w:val="left" w:pos="6502"/>
              </w:tabs>
              <w:rPr>
                <w:rFonts w:ascii="Arial" w:hAnsi="Arial" w:cs="Arial"/>
                <w:b/>
                <w:bCs/>
                <w:sz w:val="22"/>
                <w:szCs w:val="22"/>
              </w:rPr>
            </w:pPr>
          </w:p>
          <w:p w14:paraId="515FF63A" w14:textId="77777777" w:rsidR="003D5DF8" w:rsidRDefault="003D5DF8" w:rsidP="00BA2946">
            <w:pPr>
              <w:tabs>
                <w:tab w:val="left" w:pos="6502"/>
              </w:tabs>
              <w:rPr>
                <w:rFonts w:ascii="Arial" w:hAnsi="Arial" w:cs="Arial"/>
                <w:b/>
                <w:bCs/>
                <w:sz w:val="22"/>
                <w:szCs w:val="22"/>
              </w:rPr>
            </w:pPr>
          </w:p>
          <w:p w14:paraId="69BD381A" w14:textId="77777777" w:rsidR="003D5DF8" w:rsidRDefault="003D5DF8" w:rsidP="00BA2946">
            <w:pPr>
              <w:tabs>
                <w:tab w:val="left" w:pos="6502"/>
              </w:tabs>
              <w:rPr>
                <w:rFonts w:ascii="Arial" w:hAnsi="Arial" w:cs="Arial"/>
                <w:b/>
                <w:bCs/>
                <w:sz w:val="22"/>
                <w:szCs w:val="22"/>
              </w:rPr>
            </w:pPr>
          </w:p>
          <w:p w14:paraId="6EDFE120" w14:textId="77777777" w:rsidR="003D5DF8" w:rsidRDefault="003D5DF8" w:rsidP="00BA2946">
            <w:pPr>
              <w:tabs>
                <w:tab w:val="left" w:pos="6502"/>
              </w:tabs>
              <w:rPr>
                <w:rFonts w:ascii="Arial" w:hAnsi="Arial" w:cs="Arial"/>
                <w:b/>
                <w:bCs/>
                <w:sz w:val="22"/>
                <w:szCs w:val="22"/>
              </w:rPr>
            </w:pPr>
          </w:p>
          <w:p w14:paraId="48CFB42D" w14:textId="77777777" w:rsidR="003D5DF8" w:rsidRDefault="003D5DF8" w:rsidP="00BA2946">
            <w:pPr>
              <w:tabs>
                <w:tab w:val="left" w:pos="6502"/>
              </w:tabs>
              <w:rPr>
                <w:rFonts w:ascii="Arial" w:hAnsi="Arial" w:cs="Arial"/>
                <w:b/>
                <w:bCs/>
                <w:sz w:val="22"/>
                <w:szCs w:val="22"/>
              </w:rPr>
            </w:pPr>
          </w:p>
          <w:p w14:paraId="292AAA11" w14:textId="77777777" w:rsidR="003D5DF8" w:rsidRDefault="003D5DF8" w:rsidP="00BA2946">
            <w:pPr>
              <w:tabs>
                <w:tab w:val="left" w:pos="6502"/>
              </w:tabs>
              <w:rPr>
                <w:rFonts w:ascii="Arial" w:hAnsi="Arial" w:cs="Arial"/>
                <w:b/>
                <w:bCs/>
                <w:sz w:val="22"/>
                <w:szCs w:val="22"/>
              </w:rPr>
            </w:pPr>
          </w:p>
          <w:p w14:paraId="5FA2E072" w14:textId="77777777" w:rsidR="003D5DF8" w:rsidRDefault="003D5DF8" w:rsidP="00BA2946">
            <w:pPr>
              <w:tabs>
                <w:tab w:val="left" w:pos="6502"/>
              </w:tabs>
              <w:rPr>
                <w:rFonts w:ascii="Arial" w:hAnsi="Arial" w:cs="Arial"/>
                <w:b/>
                <w:bCs/>
                <w:sz w:val="22"/>
                <w:szCs w:val="22"/>
              </w:rPr>
            </w:pPr>
          </w:p>
          <w:p w14:paraId="11F5184F" w14:textId="6A42513F" w:rsidR="003D5DF8" w:rsidRPr="00610C59" w:rsidRDefault="003D5DF8" w:rsidP="00BA2946">
            <w:pPr>
              <w:tabs>
                <w:tab w:val="left" w:pos="6502"/>
              </w:tabs>
              <w:rPr>
                <w:rFonts w:ascii="Arial" w:hAnsi="Arial" w:cs="Arial"/>
                <w:b/>
                <w:bCs/>
                <w:sz w:val="22"/>
                <w:szCs w:val="22"/>
              </w:rPr>
            </w:pPr>
            <w:r>
              <w:rPr>
                <w:rFonts w:ascii="Arial" w:hAnsi="Arial" w:cs="Arial"/>
                <w:b/>
                <w:bCs/>
                <w:sz w:val="22"/>
                <w:szCs w:val="22"/>
              </w:rPr>
              <w:t>Moderator</w:t>
            </w:r>
          </w:p>
        </w:tc>
        <w:tc>
          <w:tcPr>
            <w:tcW w:w="2168" w:type="dxa"/>
          </w:tcPr>
          <w:p w14:paraId="02B256C9" w14:textId="5C6C9566" w:rsidR="00BA2946" w:rsidRPr="00610C59" w:rsidRDefault="00BA2946" w:rsidP="00BA2946">
            <w:pPr>
              <w:pStyle w:val="ListParagraph"/>
              <w:numPr>
                <w:ilvl w:val="0"/>
                <w:numId w:val="5"/>
              </w:numPr>
              <w:tabs>
                <w:tab w:val="left" w:pos="6502"/>
              </w:tabs>
              <w:ind w:left="337"/>
              <w:rPr>
                <w:rFonts w:ascii="Arial" w:hAnsi="Arial" w:cs="Arial"/>
                <w:szCs w:val="22"/>
              </w:rPr>
            </w:pPr>
            <w:r w:rsidRPr="00610C59">
              <w:rPr>
                <w:rFonts w:ascii="Arial" w:hAnsi="Arial" w:cs="Arial"/>
                <w:szCs w:val="22"/>
              </w:rPr>
              <w:t>Dr. Sriprapha Petcharamesree</w:t>
            </w:r>
            <w:r>
              <w:rPr>
                <w:rFonts w:ascii="Arial" w:hAnsi="Arial" w:cs="Arial"/>
                <w:szCs w:val="22"/>
              </w:rPr>
              <w:t xml:space="preserve"> </w:t>
            </w:r>
          </w:p>
        </w:tc>
        <w:tc>
          <w:tcPr>
            <w:tcW w:w="2180" w:type="dxa"/>
          </w:tcPr>
          <w:p w14:paraId="0EB80675" w14:textId="69812EBC" w:rsidR="00BA2946" w:rsidRPr="00610C59" w:rsidRDefault="00BA2946" w:rsidP="00BA2946">
            <w:pPr>
              <w:tabs>
                <w:tab w:val="left" w:pos="6502"/>
              </w:tabs>
              <w:rPr>
                <w:rFonts w:ascii="Arial" w:hAnsi="Arial" w:cs="Arial"/>
                <w:sz w:val="22"/>
                <w:szCs w:val="22"/>
              </w:rPr>
            </w:pPr>
            <w:r w:rsidRPr="00610C59">
              <w:rPr>
                <w:rFonts w:ascii="Arial" w:hAnsi="Arial" w:cs="Arial"/>
                <w:sz w:val="22"/>
                <w:szCs w:val="22"/>
              </w:rPr>
              <w:t>Faculty of Law, Chulalongkorn University, Thailand</w:t>
            </w:r>
          </w:p>
        </w:tc>
        <w:tc>
          <w:tcPr>
            <w:tcW w:w="2796" w:type="dxa"/>
          </w:tcPr>
          <w:p w14:paraId="44DC7B24" w14:textId="1BEACD26" w:rsidR="00BA2946" w:rsidRPr="00610C59" w:rsidRDefault="00BA2946" w:rsidP="00BA2946">
            <w:pPr>
              <w:tabs>
                <w:tab w:val="left" w:pos="6502"/>
              </w:tabs>
              <w:rPr>
                <w:rFonts w:ascii="Arial" w:hAnsi="Arial" w:cs="Arial"/>
                <w:sz w:val="22"/>
                <w:szCs w:val="22"/>
              </w:rPr>
            </w:pPr>
            <w:proofErr w:type="spellStart"/>
            <w:r w:rsidRPr="00610C59">
              <w:rPr>
                <w:rFonts w:ascii="Arial" w:hAnsi="Arial" w:cs="Arial"/>
                <w:i/>
                <w:iCs/>
                <w:sz w:val="22"/>
                <w:szCs w:val="22"/>
              </w:rPr>
              <w:t>Autocratization</w:t>
            </w:r>
            <w:proofErr w:type="spellEnd"/>
            <w:r w:rsidRPr="00610C59">
              <w:rPr>
                <w:rFonts w:ascii="Arial" w:hAnsi="Arial" w:cs="Arial"/>
                <w:i/>
                <w:iCs/>
                <w:sz w:val="22"/>
                <w:szCs w:val="22"/>
              </w:rPr>
              <w:t xml:space="preserve"> and Academic Freedom in Southeast Asia: An Assessment</w:t>
            </w:r>
          </w:p>
        </w:tc>
      </w:tr>
      <w:tr w:rsidR="00BA2946" w:rsidRPr="00610C59" w14:paraId="7B0E7167" w14:textId="77777777" w:rsidTr="0082485F">
        <w:tc>
          <w:tcPr>
            <w:tcW w:w="2206" w:type="dxa"/>
            <w:vMerge/>
          </w:tcPr>
          <w:p w14:paraId="42D64335" w14:textId="77777777" w:rsidR="00BA2946" w:rsidRPr="00610C59" w:rsidRDefault="00BA2946" w:rsidP="00BA2946">
            <w:pPr>
              <w:tabs>
                <w:tab w:val="left" w:pos="6502"/>
              </w:tabs>
              <w:rPr>
                <w:rFonts w:ascii="Arial" w:hAnsi="Arial" w:cs="Arial"/>
                <w:sz w:val="22"/>
                <w:szCs w:val="22"/>
              </w:rPr>
            </w:pPr>
          </w:p>
        </w:tc>
        <w:tc>
          <w:tcPr>
            <w:tcW w:w="2168" w:type="dxa"/>
          </w:tcPr>
          <w:p w14:paraId="30DD205F" w14:textId="63950088" w:rsidR="00BA2946" w:rsidRPr="00610C59" w:rsidRDefault="00BA2946" w:rsidP="00BA2946">
            <w:pPr>
              <w:pStyle w:val="ListParagraph"/>
              <w:numPr>
                <w:ilvl w:val="0"/>
                <w:numId w:val="5"/>
              </w:numPr>
              <w:tabs>
                <w:tab w:val="left" w:pos="6502"/>
              </w:tabs>
              <w:ind w:left="337"/>
              <w:rPr>
                <w:rFonts w:ascii="Arial" w:hAnsi="Arial" w:cs="Arial"/>
                <w:szCs w:val="22"/>
              </w:rPr>
            </w:pPr>
            <w:r w:rsidRPr="00610C59">
              <w:rPr>
                <w:rFonts w:ascii="Arial" w:hAnsi="Arial" w:cs="Arial"/>
                <w:szCs w:val="22"/>
              </w:rPr>
              <w:t>Assoc. Prof. Dr. Khoo Ying Hooi</w:t>
            </w:r>
          </w:p>
        </w:tc>
        <w:tc>
          <w:tcPr>
            <w:tcW w:w="2180" w:type="dxa"/>
          </w:tcPr>
          <w:p w14:paraId="2E2FA75E" w14:textId="66425E4F" w:rsidR="00BA2946" w:rsidRPr="00610C59" w:rsidRDefault="00BA2946" w:rsidP="00BA2946">
            <w:pPr>
              <w:tabs>
                <w:tab w:val="left" w:pos="6502"/>
              </w:tabs>
              <w:rPr>
                <w:rFonts w:ascii="Arial" w:hAnsi="Arial" w:cs="Arial"/>
                <w:sz w:val="22"/>
                <w:szCs w:val="22"/>
              </w:rPr>
            </w:pPr>
            <w:r w:rsidRPr="00610C59">
              <w:rPr>
                <w:rFonts w:ascii="Arial" w:hAnsi="Arial" w:cs="Arial"/>
                <w:sz w:val="22"/>
                <w:szCs w:val="22"/>
              </w:rPr>
              <w:t xml:space="preserve">Department of International and Strategic Studies, </w:t>
            </w:r>
            <w:proofErr w:type="spellStart"/>
            <w:r w:rsidRPr="00610C59">
              <w:rPr>
                <w:rFonts w:ascii="Arial" w:hAnsi="Arial" w:cs="Arial"/>
                <w:sz w:val="22"/>
                <w:szCs w:val="22"/>
              </w:rPr>
              <w:t>Universiti</w:t>
            </w:r>
            <w:proofErr w:type="spellEnd"/>
            <w:r w:rsidRPr="00610C59">
              <w:rPr>
                <w:rFonts w:ascii="Arial" w:hAnsi="Arial" w:cs="Arial"/>
                <w:sz w:val="22"/>
                <w:szCs w:val="22"/>
              </w:rPr>
              <w:t xml:space="preserve"> Malaya, Malaysia</w:t>
            </w:r>
          </w:p>
        </w:tc>
        <w:tc>
          <w:tcPr>
            <w:tcW w:w="2796" w:type="dxa"/>
          </w:tcPr>
          <w:p w14:paraId="7534863B" w14:textId="1B28F509" w:rsidR="00BA2946" w:rsidRPr="00610C59" w:rsidRDefault="00BA2946" w:rsidP="00BA2946">
            <w:pPr>
              <w:tabs>
                <w:tab w:val="left" w:pos="6502"/>
              </w:tabs>
              <w:rPr>
                <w:rFonts w:ascii="Arial" w:hAnsi="Arial" w:cs="Arial"/>
                <w:sz w:val="22"/>
                <w:szCs w:val="22"/>
              </w:rPr>
            </w:pPr>
            <w:r w:rsidRPr="00610C59">
              <w:rPr>
                <w:rFonts w:ascii="Arial" w:hAnsi="Arial" w:cs="Arial"/>
                <w:i/>
                <w:iCs/>
                <w:sz w:val="22"/>
                <w:szCs w:val="22"/>
              </w:rPr>
              <w:t>The Relationship between Research Culture and Academic Freedom in Southeast Asia</w:t>
            </w:r>
          </w:p>
        </w:tc>
      </w:tr>
      <w:tr w:rsidR="00BA2946" w:rsidRPr="00610C59" w14:paraId="481461A1" w14:textId="77777777" w:rsidTr="0082485F">
        <w:tc>
          <w:tcPr>
            <w:tcW w:w="2206" w:type="dxa"/>
            <w:vMerge/>
          </w:tcPr>
          <w:p w14:paraId="742172E0" w14:textId="77777777" w:rsidR="00BA2946" w:rsidRPr="00610C59" w:rsidRDefault="00BA2946" w:rsidP="00BA2946">
            <w:pPr>
              <w:tabs>
                <w:tab w:val="left" w:pos="6502"/>
              </w:tabs>
              <w:rPr>
                <w:rFonts w:ascii="Arial" w:hAnsi="Arial" w:cs="Arial"/>
                <w:sz w:val="22"/>
                <w:szCs w:val="22"/>
              </w:rPr>
            </w:pPr>
          </w:p>
        </w:tc>
        <w:tc>
          <w:tcPr>
            <w:tcW w:w="2168" w:type="dxa"/>
          </w:tcPr>
          <w:p w14:paraId="42410252" w14:textId="64313AB9" w:rsidR="00BA2946" w:rsidRPr="00610C59" w:rsidRDefault="00BA2946" w:rsidP="00BA2946">
            <w:pPr>
              <w:pStyle w:val="ListParagraph"/>
              <w:numPr>
                <w:ilvl w:val="0"/>
                <w:numId w:val="5"/>
              </w:numPr>
              <w:tabs>
                <w:tab w:val="left" w:pos="6502"/>
              </w:tabs>
              <w:ind w:left="337"/>
              <w:rPr>
                <w:rFonts w:ascii="Arial" w:hAnsi="Arial" w:cs="Arial"/>
                <w:szCs w:val="22"/>
              </w:rPr>
            </w:pPr>
            <w:r w:rsidRPr="00610C59">
              <w:rPr>
                <w:rFonts w:ascii="Arial" w:hAnsi="Arial" w:cs="Arial"/>
                <w:szCs w:val="22"/>
              </w:rPr>
              <w:t xml:space="preserve">Dr. </w:t>
            </w:r>
            <w:proofErr w:type="spellStart"/>
            <w:r w:rsidRPr="00610C59">
              <w:rPr>
                <w:rFonts w:ascii="Arial" w:hAnsi="Arial" w:cs="Arial"/>
                <w:szCs w:val="22"/>
              </w:rPr>
              <w:t>Fuadi</w:t>
            </w:r>
            <w:proofErr w:type="spellEnd"/>
            <w:r w:rsidRPr="00610C59">
              <w:rPr>
                <w:rFonts w:ascii="Arial" w:hAnsi="Arial" w:cs="Arial"/>
                <w:szCs w:val="22"/>
              </w:rPr>
              <w:t xml:space="preserve"> Pitsuwan</w:t>
            </w:r>
          </w:p>
        </w:tc>
        <w:tc>
          <w:tcPr>
            <w:tcW w:w="2180" w:type="dxa"/>
          </w:tcPr>
          <w:p w14:paraId="5302E2DF" w14:textId="4FA6BED2" w:rsidR="00BA2946" w:rsidRPr="00610C59" w:rsidRDefault="00BA2946" w:rsidP="00BA2946">
            <w:pPr>
              <w:tabs>
                <w:tab w:val="left" w:pos="6502"/>
              </w:tabs>
              <w:rPr>
                <w:rFonts w:ascii="Arial" w:hAnsi="Arial" w:cs="Arial"/>
                <w:sz w:val="22"/>
                <w:szCs w:val="22"/>
              </w:rPr>
            </w:pPr>
            <w:r w:rsidRPr="00610C59">
              <w:rPr>
                <w:rFonts w:ascii="Arial" w:hAnsi="Arial" w:cs="Arial"/>
                <w:sz w:val="22"/>
                <w:szCs w:val="22"/>
              </w:rPr>
              <w:t>Faculty of Political Science, Thammasat University, Thailand</w:t>
            </w:r>
          </w:p>
        </w:tc>
        <w:tc>
          <w:tcPr>
            <w:tcW w:w="2796" w:type="dxa"/>
          </w:tcPr>
          <w:p w14:paraId="30C6721C" w14:textId="4AF3628B" w:rsidR="00BA2946" w:rsidRPr="00610C59" w:rsidRDefault="00BA2946" w:rsidP="00BA2946">
            <w:pPr>
              <w:tabs>
                <w:tab w:val="left" w:pos="6502"/>
              </w:tabs>
              <w:rPr>
                <w:rFonts w:ascii="Arial" w:hAnsi="Arial" w:cs="Arial"/>
                <w:sz w:val="22"/>
                <w:szCs w:val="22"/>
              </w:rPr>
            </w:pPr>
            <w:r w:rsidRPr="00610C59">
              <w:rPr>
                <w:rFonts w:ascii="Arial" w:hAnsi="Arial" w:cs="Arial"/>
                <w:i/>
                <w:iCs/>
                <w:sz w:val="22"/>
                <w:szCs w:val="22"/>
              </w:rPr>
              <w:t>Higher Education’s Institutional Autonomy in Southeast Asia: Designed to Function, Not to Flourish</w:t>
            </w:r>
          </w:p>
        </w:tc>
      </w:tr>
      <w:tr w:rsidR="00BA2946" w:rsidRPr="00610C59" w14:paraId="4337D487" w14:textId="77777777" w:rsidTr="0082485F">
        <w:tc>
          <w:tcPr>
            <w:tcW w:w="2206" w:type="dxa"/>
            <w:vMerge/>
          </w:tcPr>
          <w:p w14:paraId="50F245F0" w14:textId="77777777" w:rsidR="00BA2946" w:rsidRPr="00610C59" w:rsidRDefault="00BA2946" w:rsidP="00BA2946">
            <w:pPr>
              <w:tabs>
                <w:tab w:val="left" w:pos="6502"/>
              </w:tabs>
              <w:rPr>
                <w:rFonts w:ascii="Arial" w:hAnsi="Arial" w:cs="Arial"/>
                <w:sz w:val="22"/>
                <w:szCs w:val="22"/>
              </w:rPr>
            </w:pPr>
          </w:p>
        </w:tc>
        <w:tc>
          <w:tcPr>
            <w:tcW w:w="2168" w:type="dxa"/>
          </w:tcPr>
          <w:p w14:paraId="7971E9F7" w14:textId="19FE687A" w:rsidR="00BA2946" w:rsidRPr="00610C59" w:rsidRDefault="003D5DF8" w:rsidP="00BA2946">
            <w:pPr>
              <w:pStyle w:val="ListParagraph"/>
              <w:tabs>
                <w:tab w:val="left" w:pos="6502"/>
              </w:tabs>
              <w:ind w:left="337"/>
              <w:rPr>
                <w:rFonts w:ascii="Arial" w:hAnsi="Arial" w:cs="Arial"/>
                <w:szCs w:val="22"/>
              </w:rPr>
            </w:pPr>
            <w:proofErr w:type="gramStart"/>
            <w:r>
              <w:rPr>
                <w:rFonts w:ascii="Arial" w:hAnsi="Arial" w:cs="Arial"/>
                <w:szCs w:val="22"/>
              </w:rPr>
              <w:t>Dr.Sriprapha</w:t>
            </w:r>
            <w:proofErr w:type="gramEnd"/>
            <w:r>
              <w:rPr>
                <w:rFonts w:ascii="Arial" w:hAnsi="Arial" w:cs="Arial"/>
                <w:szCs w:val="22"/>
              </w:rPr>
              <w:t xml:space="preserve"> Petcharamesree</w:t>
            </w:r>
          </w:p>
        </w:tc>
        <w:tc>
          <w:tcPr>
            <w:tcW w:w="2180" w:type="dxa"/>
          </w:tcPr>
          <w:p w14:paraId="2229AA82" w14:textId="7A586FA5" w:rsidR="00BA2946" w:rsidRPr="00610C59" w:rsidRDefault="003D5DF8" w:rsidP="00BA2946">
            <w:pPr>
              <w:tabs>
                <w:tab w:val="left" w:pos="6502"/>
              </w:tabs>
              <w:rPr>
                <w:rFonts w:ascii="Arial" w:hAnsi="Arial" w:cs="Arial"/>
                <w:sz w:val="22"/>
                <w:szCs w:val="22"/>
              </w:rPr>
            </w:pPr>
            <w:r w:rsidRPr="003D5DF8">
              <w:rPr>
                <w:rFonts w:ascii="Arial" w:hAnsi="Arial" w:cs="Arial"/>
                <w:sz w:val="22"/>
                <w:szCs w:val="22"/>
              </w:rPr>
              <w:t>Faculty of Law, Chulalongkorn University, Thailand</w:t>
            </w:r>
          </w:p>
        </w:tc>
        <w:tc>
          <w:tcPr>
            <w:tcW w:w="2796" w:type="dxa"/>
          </w:tcPr>
          <w:p w14:paraId="2B5A533B" w14:textId="77777777" w:rsidR="00BA2946" w:rsidRPr="00610C59" w:rsidRDefault="00BA2946" w:rsidP="00BA2946">
            <w:pPr>
              <w:tabs>
                <w:tab w:val="left" w:pos="6502"/>
              </w:tabs>
              <w:rPr>
                <w:rFonts w:ascii="Arial" w:hAnsi="Arial" w:cs="Arial"/>
                <w:sz w:val="22"/>
                <w:szCs w:val="22"/>
              </w:rPr>
            </w:pPr>
          </w:p>
        </w:tc>
      </w:tr>
    </w:tbl>
    <w:p w14:paraId="7D48FE26" w14:textId="77777777" w:rsidR="00BA2946" w:rsidRPr="00BA2946" w:rsidRDefault="00BA2946" w:rsidP="008E44B6">
      <w:pPr>
        <w:tabs>
          <w:tab w:val="left" w:pos="6502"/>
        </w:tabs>
        <w:rPr>
          <w:rFonts w:ascii="Arial" w:hAnsi="Arial" w:cs="Arial"/>
          <w:sz w:val="22"/>
          <w:szCs w:val="22"/>
          <w:lang w:bidi="th-TH"/>
        </w:rPr>
      </w:pPr>
    </w:p>
    <w:sectPr w:rsidR="00BA2946" w:rsidRPr="00BA29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5E0C" w14:textId="77777777" w:rsidR="00AD3200" w:rsidRDefault="00AD3200" w:rsidP="00B51A35">
      <w:r>
        <w:separator/>
      </w:r>
    </w:p>
  </w:endnote>
  <w:endnote w:type="continuationSeparator" w:id="0">
    <w:p w14:paraId="24FE3B11" w14:textId="77777777" w:rsidR="00AD3200" w:rsidRDefault="00AD3200" w:rsidP="00B5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BFC2" w14:textId="77777777" w:rsidR="00AD3200" w:rsidRDefault="00AD3200" w:rsidP="00B51A35">
      <w:r>
        <w:separator/>
      </w:r>
    </w:p>
  </w:footnote>
  <w:footnote w:type="continuationSeparator" w:id="0">
    <w:p w14:paraId="4B367670" w14:textId="77777777" w:rsidR="00AD3200" w:rsidRDefault="00AD3200" w:rsidP="00B5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B5AE" w14:textId="621EC1AE" w:rsidR="00B51A35" w:rsidRPr="00EC2A34" w:rsidRDefault="00B51A35" w:rsidP="00EC2A34">
    <w:pPr>
      <w:pStyle w:val="Header"/>
      <w:tabs>
        <w:tab w:val="clear" w:pos="4513"/>
        <w:tab w:val="clear" w:pos="9026"/>
        <w:tab w:val="left" w:pos="1340"/>
      </w:tabs>
      <w:jc w:val="center"/>
      <w:rPr>
        <w:rFonts w:ascii="Arial" w:hAnsi="Arial" w:cs="Arial"/>
      </w:rPr>
    </w:pPr>
    <w:r w:rsidRPr="00EC2A34">
      <w:rPr>
        <w:rFonts w:ascii="Arial" w:hAnsi="Arial" w:cs="Arial"/>
        <w:color w:val="252525"/>
        <w:shd w:val="clear" w:color="auto" w:fill="FFFFFF"/>
      </w:rPr>
      <w:t>European Association for Southeast Asian Studies (EuroSEAS) Conference</w:t>
    </w:r>
  </w:p>
  <w:p w14:paraId="58008B6F" w14:textId="7E768C49" w:rsidR="00B51A35" w:rsidRPr="00EC2A34" w:rsidRDefault="00B51A35" w:rsidP="00EC2A34">
    <w:pPr>
      <w:pStyle w:val="Header"/>
      <w:tabs>
        <w:tab w:val="clear" w:pos="4513"/>
        <w:tab w:val="clear" w:pos="9026"/>
        <w:tab w:val="left" w:pos="1340"/>
      </w:tabs>
      <w:jc w:val="center"/>
      <w:rPr>
        <w:rFonts w:ascii="Arial" w:hAnsi="Arial" w:cs="Arial"/>
        <w:color w:val="252525"/>
        <w:shd w:val="clear" w:color="auto" w:fill="FFFFFF"/>
      </w:rPr>
    </w:pPr>
    <w:r w:rsidRPr="00EC2A34">
      <w:rPr>
        <w:rFonts w:ascii="Arial" w:hAnsi="Arial" w:cs="Arial"/>
        <w:color w:val="252525"/>
        <w:shd w:val="clear" w:color="auto" w:fill="FFFFFF"/>
      </w:rPr>
      <w:t>Universidad Complutense, Madrid |1 September – 3 September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2ED"/>
    <w:multiLevelType w:val="hybridMultilevel"/>
    <w:tmpl w:val="EB42C7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70217"/>
    <w:multiLevelType w:val="hybridMultilevel"/>
    <w:tmpl w:val="B524B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1C0EF9"/>
    <w:multiLevelType w:val="hybridMultilevel"/>
    <w:tmpl w:val="9D82215E"/>
    <w:lvl w:ilvl="0" w:tplc="71CE482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04F69BB"/>
    <w:multiLevelType w:val="hybridMultilevel"/>
    <w:tmpl w:val="B524B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9754CFD"/>
    <w:multiLevelType w:val="hybridMultilevel"/>
    <w:tmpl w:val="3B601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2895996">
    <w:abstractNumId w:val="4"/>
  </w:num>
  <w:num w:numId="2" w16cid:durableId="1430155857">
    <w:abstractNumId w:val="1"/>
  </w:num>
  <w:num w:numId="3" w16cid:durableId="1872064571">
    <w:abstractNumId w:val="3"/>
  </w:num>
  <w:num w:numId="4" w16cid:durableId="1496992165">
    <w:abstractNumId w:val="0"/>
  </w:num>
  <w:num w:numId="5" w16cid:durableId="2061661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1C7"/>
    <w:rsid w:val="00007868"/>
    <w:rsid w:val="00011987"/>
    <w:rsid w:val="00051B68"/>
    <w:rsid w:val="00052238"/>
    <w:rsid w:val="00092BC2"/>
    <w:rsid w:val="000A07B4"/>
    <w:rsid w:val="000C05F5"/>
    <w:rsid w:val="000F209D"/>
    <w:rsid w:val="000F2C13"/>
    <w:rsid w:val="00104E3D"/>
    <w:rsid w:val="00114C6A"/>
    <w:rsid w:val="001243FE"/>
    <w:rsid w:val="00127465"/>
    <w:rsid w:val="001360CD"/>
    <w:rsid w:val="00156709"/>
    <w:rsid w:val="00160B96"/>
    <w:rsid w:val="00167AD5"/>
    <w:rsid w:val="001768B8"/>
    <w:rsid w:val="001848B8"/>
    <w:rsid w:val="00192A34"/>
    <w:rsid w:val="001960E3"/>
    <w:rsid w:val="001A3BFD"/>
    <w:rsid w:val="001A4297"/>
    <w:rsid w:val="001B535F"/>
    <w:rsid w:val="001C09EA"/>
    <w:rsid w:val="001E6CB4"/>
    <w:rsid w:val="00211D90"/>
    <w:rsid w:val="002146C8"/>
    <w:rsid w:val="00215F7E"/>
    <w:rsid w:val="00241D75"/>
    <w:rsid w:val="002454BF"/>
    <w:rsid w:val="002466C7"/>
    <w:rsid w:val="00286AE5"/>
    <w:rsid w:val="00287819"/>
    <w:rsid w:val="002901A9"/>
    <w:rsid w:val="002D2534"/>
    <w:rsid w:val="002F1B36"/>
    <w:rsid w:val="002F1C9D"/>
    <w:rsid w:val="002F733C"/>
    <w:rsid w:val="00315D22"/>
    <w:rsid w:val="00336919"/>
    <w:rsid w:val="00372613"/>
    <w:rsid w:val="00373EE8"/>
    <w:rsid w:val="003829F9"/>
    <w:rsid w:val="00390EF8"/>
    <w:rsid w:val="003C38AF"/>
    <w:rsid w:val="003C7E1F"/>
    <w:rsid w:val="003D5DF8"/>
    <w:rsid w:val="00442D3D"/>
    <w:rsid w:val="00462840"/>
    <w:rsid w:val="00470BF7"/>
    <w:rsid w:val="004931CE"/>
    <w:rsid w:val="004C187D"/>
    <w:rsid w:val="004C5F80"/>
    <w:rsid w:val="004D16CA"/>
    <w:rsid w:val="004E117E"/>
    <w:rsid w:val="004F43F1"/>
    <w:rsid w:val="005011B5"/>
    <w:rsid w:val="00525C57"/>
    <w:rsid w:val="00550E82"/>
    <w:rsid w:val="00572A72"/>
    <w:rsid w:val="00575D51"/>
    <w:rsid w:val="0058171B"/>
    <w:rsid w:val="00595A9E"/>
    <w:rsid w:val="005965CF"/>
    <w:rsid w:val="005A4918"/>
    <w:rsid w:val="005C1394"/>
    <w:rsid w:val="005C6B0E"/>
    <w:rsid w:val="005D29E9"/>
    <w:rsid w:val="005E21BF"/>
    <w:rsid w:val="005E5F86"/>
    <w:rsid w:val="00610C59"/>
    <w:rsid w:val="006372C8"/>
    <w:rsid w:val="00641BB0"/>
    <w:rsid w:val="006655D9"/>
    <w:rsid w:val="00670047"/>
    <w:rsid w:val="00670819"/>
    <w:rsid w:val="00685BA2"/>
    <w:rsid w:val="006C1821"/>
    <w:rsid w:val="006C75C3"/>
    <w:rsid w:val="006D2504"/>
    <w:rsid w:val="006D43EB"/>
    <w:rsid w:val="006D5FB2"/>
    <w:rsid w:val="00707627"/>
    <w:rsid w:val="007248CA"/>
    <w:rsid w:val="00725F86"/>
    <w:rsid w:val="007466F1"/>
    <w:rsid w:val="00752CEC"/>
    <w:rsid w:val="007A2429"/>
    <w:rsid w:val="007E0E98"/>
    <w:rsid w:val="007E7BE5"/>
    <w:rsid w:val="007F5CD8"/>
    <w:rsid w:val="00800E2C"/>
    <w:rsid w:val="00817AB6"/>
    <w:rsid w:val="00826578"/>
    <w:rsid w:val="008314CC"/>
    <w:rsid w:val="00850850"/>
    <w:rsid w:val="008847C0"/>
    <w:rsid w:val="008931B3"/>
    <w:rsid w:val="008A055F"/>
    <w:rsid w:val="008D13C7"/>
    <w:rsid w:val="008E447B"/>
    <w:rsid w:val="008E44B6"/>
    <w:rsid w:val="008F6CEA"/>
    <w:rsid w:val="009241C7"/>
    <w:rsid w:val="0092614D"/>
    <w:rsid w:val="00932C90"/>
    <w:rsid w:val="009409C6"/>
    <w:rsid w:val="00947DBF"/>
    <w:rsid w:val="00962EDF"/>
    <w:rsid w:val="0097680F"/>
    <w:rsid w:val="009863DE"/>
    <w:rsid w:val="009865B8"/>
    <w:rsid w:val="009A16B9"/>
    <w:rsid w:val="009B384A"/>
    <w:rsid w:val="009B4872"/>
    <w:rsid w:val="009D30CB"/>
    <w:rsid w:val="009F6991"/>
    <w:rsid w:val="00A0050A"/>
    <w:rsid w:val="00A113F3"/>
    <w:rsid w:val="00A45A7A"/>
    <w:rsid w:val="00A63088"/>
    <w:rsid w:val="00A83A75"/>
    <w:rsid w:val="00A94351"/>
    <w:rsid w:val="00A94509"/>
    <w:rsid w:val="00AA7CC2"/>
    <w:rsid w:val="00AD3200"/>
    <w:rsid w:val="00AF7EDA"/>
    <w:rsid w:val="00B25EFA"/>
    <w:rsid w:val="00B32B34"/>
    <w:rsid w:val="00B51A35"/>
    <w:rsid w:val="00B53602"/>
    <w:rsid w:val="00B5401B"/>
    <w:rsid w:val="00B57546"/>
    <w:rsid w:val="00B94827"/>
    <w:rsid w:val="00BA2946"/>
    <w:rsid w:val="00BB25B9"/>
    <w:rsid w:val="00BB45A6"/>
    <w:rsid w:val="00BE0E5C"/>
    <w:rsid w:val="00C425A2"/>
    <w:rsid w:val="00C53E82"/>
    <w:rsid w:val="00C5547F"/>
    <w:rsid w:val="00C570AE"/>
    <w:rsid w:val="00C66E2F"/>
    <w:rsid w:val="00C913D8"/>
    <w:rsid w:val="00CA6548"/>
    <w:rsid w:val="00CC2D99"/>
    <w:rsid w:val="00CF17AA"/>
    <w:rsid w:val="00D17102"/>
    <w:rsid w:val="00D4380D"/>
    <w:rsid w:val="00D51E44"/>
    <w:rsid w:val="00D67511"/>
    <w:rsid w:val="00DB0E23"/>
    <w:rsid w:val="00DB55B7"/>
    <w:rsid w:val="00DB7851"/>
    <w:rsid w:val="00DD222A"/>
    <w:rsid w:val="00DD6975"/>
    <w:rsid w:val="00DE3072"/>
    <w:rsid w:val="00DE3C49"/>
    <w:rsid w:val="00DF1646"/>
    <w:rsid w:val="00DF3112"/>
    <w:rsid w:val="00DF53C7"/>
    <w:rsid w:val="00E10912"/>
    <w:rsid w:val="00E1374B"/>
    <w:rsid w:val="00E17EB4"/>
    <w:rsid w:val="00E31874"/>
    <w:rsid w:val="00E40BE9"/>
    <w:rsid w:val="00E40EA1"/>
    <w:rsid w:val="00E45296"/>
    <w:rsid w:val="00E60B76"/>
    <w:rsid w:val="00E73F6A"/>
    <w:rsid w:val="00E7493F"/>
    <w:rsid w:val="00E95020"/>
    <w:rsid w:val="00E962C3"/>
    <w:rsid w:val="00EA7C00"/>
    <w:rsid w:val="00EC2A34"/>
    <w:rsid w:val="00EE489C"/>
    <w:rsid w:val="00EE772C"/>
    <w:rsid w:val="00F33606"/>
    <w:rsid w:val="00F35867"/>
    <w:rsid w:val="00F50321"/>
    <w:rsid w:val="00F7282E"/>
    <w:rsid w:val="00F878B3"/>
    <w:rsid w:val="00F87C8A"/>
    <w:rsid w:val="00FA3803"/>
    <w:rsid w:val="00FA7120"/>
    <w:rsid w:val="00FD2E55"/>
    <w:rsid w:val="00FD3DF0"/>
    <w:rsid w:val="00FF72B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74E8"/>
  <w15:chartTrackingRefBased/>
  <w15:docId w15:val="{A289EC4F-2AD9-44ED-BEE2-6CD25826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D51"/>
    <w:pPr>
      <w:spacing w:after="0" w:line="240" w:lineRule="auto"/>
    </w:pPr>
    <w:rPr>
      <w:rFonts w:ascii="Times New Roman" w:eastAsia="Times New Roman" w:hAnsi="Times New Roman" w:cs="Times New Roman"/>
      <w:kern w:val="0"/>
      <w:sz w:val="24"/>
      <w:szCs w:val="24"/>
      <w:lang w:val="en-MY" w:eastAsia="en-GB" w:bidi="ar-SA"/>
      <w14:ligatures w14:val="none"/>
    </w:rPr>
  </w:style>
  <w:style w:type="paragraph" w:styleId="Heading1">
    <w:name w:val="heading 1"/>
    <w:basedOn w:val="Normal"/>
    <w:next w:val="Normal"/>
    <w:link w:val="Heading1Char"/>
    <w:uiPriority w:val="9"/>
    <w:qFormat/>
    <w:rsid w:val="009241C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50"/>
      <w:lang w:val="en-US" w:eastAsia="en-US" w:bidi="th-TH"/>
      <w14:ligatures w14:val="standardContextual"/>
    </w:rPr>
  </w:style>
  <w:style w:type="paragraph" w:styleId="Heading2">
    <w:name w:val="heading 2"/>
    <w:basedOn w:val="Normal"/>
    <w:next w:val="Normal"/>
    <w:link w:val="Heading2Char"/>
    <w:uiPriority w:val="9"/>
    <w:semiHidden/>
    <w:unhideWhenUsed/>
    <w:qFormat/>
    <w:rsid w:val="009241C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40"/>
      <w:lang w:val="en-US" w:eastAsia="en-US" w:bidi="th-TH"/>
      <w14:ligatures w14:val="standardContextual"/>
    </w:rPr>
  </w:style>
  <w:style w:type="paragraph" w:styleId="Heading3">
    <w:name w:val="heading 3"/>
    <w:basedOn w:val="Normal"/>
    <w:next w:val="Normal"/>
    <w:link w:val="Heading3Char"/>
    <w:uiPriority w:val="9"/>
    <w:semiHidden/>
    <w:unhideWhenUsed/>
    <w:qFormat/>
    <w:rsid w:val="009241C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35"/>
      <w:lang w:val="en-US" w:eastAsia="en-US" w:bidi="th-TH"/>
      <w14:ligatures w14:val="standardContextual"/>
    </w:rPr>
  </w:style>
  <w:style w:type="paragraph" w:styleId="Heading4">
    <w:name w:val="heading 4"/>
    <w:basedOn w:val="Normal"/>
    <w:next w:val="Normal"/>
    <w:link w:val="Heading4Char"/>
    <w:uiPriority w:val="9"/>
    <w:semiHidden/>
    <w:unhideWhenUsed/>
    <w:qFormat/>
    <w:rsid w:val="009241C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8"/>
      <w:lang w:val="en-US" w:eastAsia="en-US" w:bidi="th-TH"/>
      <w14:ligatures w14:val="standardContextual"/>
    </w:rPr>
  </w:style>
  <w:style w:type="paragraph" w:styleId="Heading5">
    <w:name w:val="heading 5"/>
    <w:basedOn w:val="Normal"/>
    <w:next w:val="Normal"/>
    <w:link w:val="Heading5Char"/>
    <w:uiPriority w:val="9"/>
    <w:semiHidden/>
    <w:unhideWhenUsed/>
    <w:qFormat/>
    <w:rsid w:val="009241C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8"/>
      <w:lang w:val="en-US" w:eastAsia="en-US" w:bidi="th-TH"/>
      <w14:ligatures w14:val="standardContextual"/>
    </w:rPr>
  </w:style>
  <w:style w:type="paragraph" w:styleId="Heading6">
    <w:name w:val="heading 6"/>
    <w:basedOn w:val="Normal"/>
    <w:next w:val="Normal"/>
    <w:link w:val="Heading6Char"/>
    <w:uiPriority w:val="9"/>
    <w:semiHidden/>
    <w:unhideWhenUsed/>
    <w:qFormat/>
    <w:rsid w:val="009241C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8"/>
      <w:lang w:val="en-US" w:eastAsia="en-US" w:bidi="th-TH"/>
      <w14:ligatures w14:val="standardContextual"/>
    </w:rPr>
  </w:style>
  <w:style w:type="paragraph" w:styleId="Heading7">
    <w:name w:val="heading 7"/>
    <w:basedOn w:val="Normal"/>
    <w:next w:val="Normal"/>
    <w:link w:val="Heading7Char"/>
    <w:uiPriority w:val="9"/>
    <w:semiHidden/>
    <w:unhideWhenUsed/>
    <w:qFormat/>
    <w:rsid w:val="009241C7"/>
    <w:pPr>
      <w:keepNext/>
      <w:keepLines/>
      <w:spacing w:before="40" w:line="259" w:lineRule="auto"/>
      <w:outlineLvl w:val="6"/>
    </w:pPr>
    <w:rPr>
      <w:rFonts w:asciiTheme="minorHAnsi" w:eastAsiaTheme="majorEastAsia" w:hAnsiTheme="minorHAnsi" w:cstheme="majorBidi"/>
      <w:color w:val="595959" w:themeColor="text1" w:themeTint="A6"/>
      <w:kern w:val="2"/>
      <w:sz w:val="22"/>
      <w:szCs w:val="28"/>
      <w:lang w:val="en-US" w:eastAsia="en-US" w:bidi="th-TH"/>
      <w14:ligatures w14:val="standardContextual"/>
    </w:rPr>
  </w:style>
  <w:style w:type="paragraph" w:styleId="Heading8">
    <w:name w:val="heading 8"/>
    <w:basedOn w:val="Normal"/>
    <w:next w:val="Normal"/>
    <w:link w:val="Heading8Char"/>
    <w:uiPriority w:val="9"/>
    <w:semiHidden/>
    <w:unhideWhenUsed/>
    <w:qFormat/>
    <w:rsid w:val="009241C7"/>
    <w:pPr>
      <w:keepNext/>
      <w:keepLines/>
      <w:spacing w:line="259" w:lineRule="auto"/>
      <w:outlineLvl w:val="7"/>
    </w:pPr>
    <w:rPr>
      <w:rFonts w:asciiTheme="minorHAnsi" w:eastAsiaTheme="majorEastAsia" w:hAnsiTheme="minorHAnsi" w:cstheme="majorBidi"/>
      <w:i/>
      <w:iCs/>
      <w:color w:val="272727" w:themeColor="text1" w:themeTint="D8"/>
      <w:kern w:val="2"/>
      <w:sz w:val="22"/>
      <w:szCs w:val="28"/>
      <w:lang w:val="en-US" w:eastAsia="en-US" w:bidi="th-TH"/>
      <w14:ligatures w14:val="standardContextual"/>
    </w:rPr>
  </w:style>
  <w:style w:type="paragraph" w:styleId="Heading9">
    <w:name w:val="heading 9"/>
    <w:basedOn w:val="Normal"/>
    <w:next w:val="Normal"/>
    <w:link w:val="Heading9Char"/>
    <w:uiPriority w:val="9"/>
    <w:semiHidden/>
    <w:unhideWhenUsed/>
    <w:qFormat/>
    <w:rsid w:val="009241C7"/>
    <w:pPr>
      <w:keepNext/>
      <w:keepLines/>
      <w:spacing w:line="259" w:lineRule="auto"/>
      <w:outlineLvl w:val="8"/>
    </w:pPr>
    <w:rPr>
      <w:rFonts w:asciiTheme="minorHAnsi" w:eastAsiaTheme="majorEastAsia" w:hAnsiTheme="minorHAnsi" w:cstheme="majorBidi"/>
      <w:color w:val="272727" w:themeColor="text1" w:themeTint="D8"/>
      <w:kern w:val="2"/>
      <w:sz w:val="22"/>
      <w:szCs w:val="28"/>
      <w:lang w:val="en-US" w:eastAsia="en-US"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1C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9241C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9241C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924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1C7"/>
    <w:rPr>
      <w:rFonts w:eastAsiaTheme="majorEastAsia" w:cstheme="majorBidi"/>
      <w:color w:val="272727" w:themeColor="text1" w:themeTint="D8"/>
    </w:rPr>
  </w:style>
  <w:style w:type="paragraph" w:styleId="Title">
    <w:name w:val="Title"/>
    <w:basedOn w:val="Normal"/>
    <w:next w:val="Normal"/>
    <w:link w:val="TitleChar"/>
    <w:uiPriority w:val="10"/>
    <w:qFormat/>
    <w:rsid w:val="009241C7"/>
    <w:pPr>
      <w:spacing w:after="80"/>
      <w:contextualSpacing/>
    </w:pPr>
    <w:rPr>
      <w:rFonts w:asciiTheme="majorHAnsi" w:eastAsiaTheme="majorEastAsia" w:hAnsiTheme="majorHAnsi" w:cstheme="majorBidi"/>
      <w:spacing w:val="-10"/>
      <w:kern w:val="28"/>
      <w:sz w:val="56"/>
      <w:szCs w:val="71"/>
      <w:lang w:val="en-US" w:eastAsia="en-US" w:bidi="th-TH"/>
      <w14:ligatures w14:val="standardContextual"/>
    </w:rPr>
  </w:style>
  <w:style w:type="character" w:customStyle="1" w:styleId="TitleChar">
    <w:name w:val="Title Char"/>
    <w:basedOn w:val="DefaultParagraphFont"/>
    <w:link w:val="Title"/>
    <w:uiPriority w:val="10"/>
    <w:rsid w:val="009241C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241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35"/>
      <w:lang w:val="en-US" w:eastAsia="en-US" w:bidi="th-TH"/>
      <w14:ligatures w14:val="standardContextual"/>
    </w:rPr>
  </w:style>
  <w:style w:type="character" w:customStyle="1" w:styleId="SubtitleChar">
    <w:name w:val="Subtitle Char"/>
    <w:basedOn w:val="DefaultParagraphFont"/>
    <w:link w:val="Subtitle"/>
    <w:uiPriority w:val="11"/>
    <w:rsid w:val="009241C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241C7"/>
    <w:pPr>
      <w:spacing w:before="160" w:after="160" w:line="259" w:lineRule="auto"/>
      <w:jc w:val="center"/>
    </w:pPr>
    <w:rPr>
      <w:rFonts w:asciiTheme="minorHAnsi" w:eastAsiaTheme="minorHAnsi" w:hAnsiTheme="minorHAnsi" w:cstheme="minorBidi"/>
      <w:i/>
      <w:iCs/>
      <w:color w:val="404040" w:themeColor="text1" w:themeTint="BF"/>
      <w:kern w:val="2"/>
      <w:sz w:val="22"/>
      <w:szCs w:val="28"/>
      <w:lang w:val="en-US" w:eastAsia="en-US" w:bidi="th-TH"/>
      <w14:ligatures w14:val="standardContextual"/>
    </w:rPr>
  </w:style>
  <w:style w:type="character" w:customStyle="1" w:styleId="QuoteChar">
    <w:name w:val="Quote Char"/>
    <w:basedOn w:val="DefaultParagraphFont"/>
    <w:link w:val="Quote"/>
    <w:uiPriority w:val="29"/>
    <w:rsid w:val="009241C7"/>
    <w:rPr>
      <w:i/>
      <w:iCs/>
      <w:color w:val="404040" w:themeColor="text1" w:themeTint="BF"/>
    </w:rPr>
  </w:style>
  <w:style w:type="paragraph" w:styleId="ListParagraph">
    <w:name w:val="List Paragraph"/>
    <w:basedOn w:val="Normal"/>
    <w:uiPriority w:val="34"/>
    <w:qFormat/>
    <w:rsid w:val="009241C7"/>
    <w:pPr>
      <w:spacing w:after="160" w:line="259" w:lineRule="auto"/>
      <w:ind w:left="720"/>
      <w:contextualSpacing/>
    </w:pPr>
    <w:rPr>
      <w:rFonts w:asciiTheme="minorHAnsi" w:eastAsiaTheme="minorHAnsi" w:hAnsiTheme="minorHAnsi" w:cstheme="minorBidi"/>
      <w:kern w:val="2"/>
      <w:sz w:val="22"/>
      <w:szCs w:val="28"/>
      <w:lang w:val="en-US" w:eastAsia="en-US" w:bidi="th-TH"/>
      <w14:ligatures w14:val="standardContextual"/>
    </w:rPr>
  </w:style>
  <w:style w:type="character" w:styleId="IntenseEmphasis">
    <w:name w:val="Intense Emphasis"/>
    <w:basedOn w:val="DefaultParagraphFont"/>
    <w:uiPriority w:val="21"/>
    <w:qFormat/>
    <w:rsid w:val="009241C7"/>
    <w:rPr>
      <w:i/>
      <w:iCs/>
      <w:color w:val="0F4761" w:themeColor="accent1" w:themeShade="BF"/>
    </w:rPr>
  </w:style>
  <w:style w:type="paragraph" w:styleId="IntenseQuote">
    <w:name w:val="Intense Quote"/>
    <w:basedOn w:val="Normal"/>
    <w:next w:val="Normal"/>
    <w:link w:val="IntenseQuoteChar"/>
    <w:uiPriority w:val="30"/>
    <w:qFormat/>
    <w:rsid w:val="009241C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8"/>
      <w:lang w:val="en-US" w:eastAsia="en-US" w:bidi="th-TH"/>
      <w14:ligatures w14:val="standardContextual"/>
    </w:rPr>
  </w:style>
  <w:style w:type="character" w:customStyle="1" w:styleId="IntenseQuoteChar">
    <w:name w:val="Intense Quote Char"/>
    <w:basedOn w:val="DefaultParagraphFont"/>
    <w:link w:val="IntenseQuote"/>
    <w:uiPriority w:val="30"/>
    <w:rsid w:val="009241C7"/>
    <w:rPr>
      <w:i/>
      <w:iCs/>
      <w:color w:val="0F4761" w:themeColor="accent1" w:themeShade="BF"/>
    </w:rPr>
  </w:style>
  <w:style w:type="character" w:styleId="IntenseReference">
    <w:name w:val="Intense Reference"/>
    <w:basedOn w:val="DefaultParagraphFont"/>
    <w:uiPriority w:val="32"/>
    <w:qFormat/>
    <w:rsid w:val="009241C7"/>
    <w:rPr>
      <w:b/>
      <w:bCs/>
      <w:smallCaps/>
      <w:color w:val="0F4761" w:themeColor="accent1" w:themeShade="BF"/>
      <w:spacing w:val="5"/>
    </w:rPr>
  </w:style>
  <w:style w:type="character" w:styleId="Hyperlink">
    <w:name w:val="Hyperlink"/>
    <w:basedOn w:val="DefaultParagraphFont"/>
    <w:uiPriority w:val="99"/>
    <w:unhideWhenUsed/>
    <w:rsid w:val="009409C6"/>
    <w:rPr>
      <w:color w:val="467886" w:themeColor="hyperlink"/>
      <w:u w:val="single"/>
    </w:rPr>
  </w:style>
  <w:style w:type="character" w:styleId="UnresolvedMention">
    <w:name w:val="Unresolved Mention"/>
    <w:basedOn w:val="DefaultParagraphFont"/>
    <w:uiPriority w:val="99"/>
    <w:semiHidden/>
    <w:unhideWhenUsed/>
    <w:rsid w:val="009409C6"/>
    <w:rPr>
      <w:color w:val="605E5C"/>
      <w:shd w:val="clear" w:color="auto" w:fill="E1DFDD"/>
    </w:rPr>
  </w:style>
  <w:style w:type="paragraph" w:styleId="Header">
    <w:name w:val="header"/>
    <w:basedOn w:val="Normal"/>
    <w:link w:val="HeaderChar"/>
    <w:uiPriority w:val="99"/>
    <w:unhideWhenUsed/>
    <w:rsid w:val="00B51A35"/>
    <w:pPr>
      <w:tabs>
        <w:tab w:val="center" w:pos="4513"/>
        <w:tab w:val="right" w:pos="9026"/>
      </w:tabs>
    </w:pPr>
    <w:rPr>
      <w:rFonts w:asciiTheme="minorHAnsi" w:eastAsiaTheme="minorHAnsi" w:hAnsiTheme="minorHAnsi" w:cstheme="minorBidi"/>
      <w:kern w:val="2"/>
      <w:sz w:val="22"/>
      <w:szCs w:val="28"/>
      <w:lang w:val="en-US" w:eastAsia="en-US" w:bidi="th-TH"/>
      <w14:ligatures w14:val="standardContextual"/>
    </w:rPr>
  </w:style>
  <w:style w:type="character" w:customStyle="1" w:styleId="HeaderChar">
    <w:name w:val="Header Char"/>
    <w:basedOn w:val="DefaultParagraphFont"/>
    <w:link w:val="Header"/>
    <w:uiPriority w:val="99"/>
    <w:rsid w:val="00B51A35"/>
  </w:style>
  <w:style w:type="paragraph" w:styleId="Footer">
    <w:name w:val="footer"/>
    <w:basedOn w:val="Normal"/>
    <w:link w:val="FooterChar"/>
    <w:uiPriority w:val="99"/>
    <w:unhideWhenUsed/>
    <w:rsid w:val="00B51A35"/>
    <w:pPr>
      <w:tabs>
        <w:tab w:val="center" w:pos="4513"/>
        <w:tab w:val="right" w:pos="9026"/>
      </w:tabs>
    </w:pPr>
    <w:rPr>
      <w:rFonts w:asciiTheme="minorHAnsi" w:eastAsiaTheme="minorHAnsi" w:hAnsiTheme="minorHAnsi" w:cstheme="minorBidi"/>
      <w:kern w:val="2"/>
      <w:sz w:val="22"/>
      <w:szCs w:val="28"/>
      <w:lang w:val="en-US" w:eastAsia="en-US" w:bidi="th-TH"/>
      <w14:ligatures w14:val="standardContextual"/>
    </w:rPr>
  </w:style>
  <w:style w:type="character" w:customStyle="1" w:styleId="FooterChar">
    <w:name w:val="Footer Char"/>
    <w:basedOn w:val="DefaultParagraphFont"/>
    <w:link w:val="Footer"/>
    <w:uiPriority w:val="99"/>
    <w:rsid w:val="00B51A35"/>
  </w:style>
  <w:style w:type="table" w:styleId="TableGrid">
    <w:name w:val="Table Grid"/>
    <w:basedOn w:val="TableNormal"/>
    <w:uiPriority w:val="39"/>
    <w:rsid w:val="00EC2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75D51"/>
    <w:rPr>
      <w:b/>
      <w:bCs/>
    </w:rPr>
  </w:style>
  <w:style w:type="paragraph" w:styleId="NormalWeb">
    <w:name w:val="Normal (Web)"/>
    <w:basedOn w:val="Normal"/>
    <w:uiPriority w:val="99"/>
    <w:unhideWhenUsed/>
    <w:rsid w:val="00575D51"/>
    <w:pPr>
      <w:spacing w:before="100" w:beforeAutospacing="1" w:after="100" w:afterAutospacing="1"/>
    </w:pPr>
  </w:style>
  <w:style w:type="character" w:customStyle="1" w:styleId="searchhighlight">
    <w:name w:val="searchhighlight"/>
    <w:basedOn w:val="DefaultParagraphFont"/>
    <w:rsid w:val="00373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668</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Sriprapha Petcharamesree</dc:creator>
  <cp:keywords/>
  <dc:description/>
  <cp:lastModifiedBy>Sikko Visscher</cp:lastModifiedBy>
  <cp:revision>3</cp:revision>
  <dcterms:created xsi:type="dcterms:W3CDTF">2026-01-08T12:30:00Z</dcterms:created>
  <dcterms:modified xsi:type="dcterms:W3CDTF">2026-01-08T12:30:00Z</dcterms:modified>
</cp:coreProperties>
</file>