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DA08" w14:textId="77777777" w:rsidR="00EC2A34" w:rsidRPr="00733F24" w:rsidRDefault="00EC2A34" w:rsidP="00EC2A34">
      <w:pPr>
        <w:rPr>
          <w:rFonts w:ascii="Garamond" w:hAnsi="Garamond"/>
        </w:rPr>
      </w:pPr>
    </w:p>
    <w:tbl>
      <w:tblPr>
        <w:tblStyle w:val="TableGrid"/>
        <w:tblW w:w="0" w:type="auto"/>
        <w:tblLook w:val="04A0" w:firstRow="1" w:lastRow="0" w:firstColumn="1" w:lastColumn="0" w:noHBand="0" w:noVBand="1"/>
      </w:tblPr>
      <w:tblGrid>
        <w:gridCol w:w="396"/>
        <w:gridCol w:w="1312"/>
        <w:gridCol w:w="7642"/>
      </w:tblGrid>
      <w:tr w:rsidR="00EC2A34" w:rsidRPr="00733F24" w14:paraId="338F9B40" w14:textId="77777777" w:rsidTr="008F672D">
        <w:trPr>
          <w:trHeight w:val="908"/>
        </w:trPr>
        <w:tc>
          <w:tcPr>
            <w:tcW w:w="397" w:type="dxa"/>
          </w:tcPr>
          <w:p w14:paraId="42B24A63" w14:textId="77A070FB" w:rsidR="00EC2A34" w:rsidRPr="00733F24" w:rsidRDefault="00EC2A34" w:rsidP="00EC2A34">
            <w:pPr>
              <w:rPr>
                <w:rFonts w:ascii="Garamond" w:hAnsi="Garamond" w:cs="Arial"/>
              </w:rPr>
            </w:pPr>
            <w:r w:rsidRPr="00733F24">
              <w:rPr>
                <w:rFonts w:ascii="Garamond" w:hAnsi="Garamond" w:cs="Arial"/>
              </w:rPr>
              <w:t>1.</w:t>
            </w:r>
          </w:p>
        </w:tc>
        <w:tc>
          <w:tcPr>
            <w:tcW w:w="1158" w:type="dxa"/>
          </w:tcPr>
          <w:p w14:paraId="4CDC9E64" w14:textId="653FEB8C" w:rsidR="00EC2A34" w:rsidRPr="00733F24" w:rsidRDefault="00EC2A34" w:rsidP="00EC2A34">
            <w:pPr>
              <w:rPr>
                <w:rFonts w:ascii="Garamond" w:hAnsi="Garamond" w:cs="Arial"/>
                <w:b/>
                <w:bCs/>
              </w:rPr>
            </w:pPr>
            <w:r w:rsidRPr="00733F24">
              <w:rPr>
                <w:rFonts w:ascii="Garamond" w:hAnsi="Garamond" w:cs="Arial"/>
                <w:b/>
                <w:bCs/>
              </w:rPr>
              <w:t>Title</w:t>
            </w:r>
          </w:p>
        </w:tc>
        <w:tc>
          <w:tcPr>
            <w:tcW w:w="7795" w:type="dxa"/>
          </w:tcPr>
          <w:p w14:paraId="46B547C8" w14:textId="0ED2A1E1" w:rsidR="001848B8" w:rsidRPr="00733F24" w:rsidRDefault="00B4049C" w:rsidP="00EC2A34">
            <w:pPr>
              <w:rPr>
                <w:rFonts w:ascii="Garamond" w:hAnsi="Garamond"/>
                <w:b/>
                <w:bCs/>
              </w:rPr>
            </w:pPr>
            <w:r w:rsidRPr="00733F24">
              <w:rPr>
                <w:rFonts w:ascii="Garamond" w:hAnsi="Garamond"/>
                <w:b/>
                <w:bCs/>
              </w:rPr>
              <w:t>Nickel Industry, Law and Capitalism: From Oligarch Politics to Global Economy Market Promises</w:t>
            </w:r>
            <w:r w:rsidR="00127465" w:rsidRPr="00733F24">
              <w:rPr>
                <w:rFonts w:ascii="Garamond" w:hAnsi="Garamond"/>
                <w:b/>
                <w:bCs/>
              </w:rPr>
              <w:t xml:space="preserve"> </w:t>
            </w:r>
          </w:p>
        </w:tc>
      </w:tr>
      <w:tr w:rsidR="00EC2A34" w:rsidRPr="00733F24" w14:paraId="1178BF51" w14:textId="77777777" w:rsidTr="00127465">
        <w:tc>
          <w:tcPr>
            <w:tcW w:w="397" w:type="dxa"/>
          </w:tcPr>
          <w:p w14:paraId="2743A6B1" w14:textId="6C94C1D1" w:rsidR="00EC2A34" w:rsidRPr="00733F24" w:rsidRDefault="00EC2A34" w:rsidP="00EC2A34">
            <w:pPr>
              <w:rPr>
                <w:rFonts w:ascii="Garamond" w:hAnsi="Garamond" w:cs="Arial"/>
              </w:rPr>
            </w:pPr>
            <w:r w:rsidRPr="00733F24">
              <w:rPr>
                <w:rFonts w:ascii="Garamond" w:hAnsi="Garamond" w:cs="Arial"/>
              </w:rPr>
              <w:t>2.</w:t>
            </w:r>
          </w:p>
        </w:tc>
        <w:tc>
          <w:tcPr>
            <w:tcW w:w="1158" w:type="dxa"/>
          </w:tcPr>
          <w:p w14:paraId="695E8FDE" w14:textId="032CF916" w:rsidR="00EC2A34" w:rsidRPr="00733F24" w:rsidRDefault="00EC2A34" w:rsidP="00EC2A34">
            <w:pPr>
              <w:rPr>
                <w:rFonts w:ascii="Garamond" w:hAnsi="Garamond" w:cs="Arial"/>
                <w:b/>
                <w:bCs/>
              </w:rPr>
            </w:pPr>
            <w:r w:rsidRPr="00733F24">
              <w:rPr>
                <w:rFonts w:ascii="Garamond" w:hAnsi="Garamond" w:cs="Arial"/>
                <w:b/>
                <w:bCs/>
              </w:rPr>
              <w:t>Convener</w:t>
            </w:r>
          </w:p>
        </w:tc>
        <w:tc>
          <w:tcPr>
            <w:tcW w:w="7795" w:type="dxa"/>
          </w:tcPr>
          <w:p w14:paraId="3AFF4B47" w14:textId="3E276E6B" w:rsidR="00EC2A34" w:rsidRPr="00733F24" w:rsidRDefault="00B4049C" w:rsidP="00EC2A34">
            <w:pPr>
              <w:rPr>
                <w:rFonts w:ascii="Garamond" w:hAnsi="Garamond" w:cs="Arial"/>
              </w:rPr>
            </w:pPr>
            <w:r w:rsidRPr="00733F24">
              <w:rPr>
                <w:rFonts w:ascii="Garamond" w:hAnsi="Garamond" w:cs="Arial"/>
              </w:rPr>
              <w:t>1.</w:t>
            </w:r>
            <w:r w:rsidRPr="00733F24">
              <w:rPr>
                <w:rFonts w:ascii="Garamond" w:hAnsi="Garamond" w:cs="Arial"/>
              </w:rPr>
              <w:tab/>
              <w:t xml:space="preserve">Assoc. Prof. Dr. Herlambang P. </w:t>
            </w:r>
            <w:proofErr w:type="spellStart"/>
            <w:r w:rsidRPr="00733F24">
              <w:rPr>
                <w:rFonts w:ascii="Garamond" w:hAnsi="Garamond" w:cs="Arial"/>
              </w:rPr>
              <w:t>Wiratraman</w:t>
            </w:r>
            <w:proofErr w:type="spellEnd"/>
            <w:r w:rsidRPr="00733F24">
              <w:rPr>
                <w:rFonts w:ascii="Garamond" w:hAnsi="Garamond" w:cs="Arial"/>
              </w:rPr>
              <w:t xml:space="preserve"> (Faculty of Law, Universitas Gadjah Mada, Indonesia)</w:t>
            </w:r>
            <w:r w:rsidR="00EC2A34" w:rsidRPr="00733F24">
              <w:rPr>
                <w:rFonts w:ascii="Garamond" w:hAnsi="Garamond" w:cs="Arial"/>
              </w:rPr>
              <w:t xml:space="preserve">; </w:t>
            </w:r>
            <w:r w:rsidR="00733F24" w:rsidRPr="00733F24">
              <w:rPr>
                <w:rFonts w:ascii="Garamond" w:hAnsi="Garamond" w:cs="Arial"/>
              </w:rPr>
              <w:t>herlambang.perdean@ugm.ac.id</w:t>
            </w:r>
          </w:p>
          <w:p w14:paraId="6BC220FF" w14:textId="1C98DB41" w:rsidR="001848B8" w:rsidRPr="00733F24" w:rsidRDefault="001848B8" w:rsidP="00EC2A34">
            <w:pPr>
              <w:rPr>
                <w:rFonts w:ascii="Garamond" w:hAnsi="Garamond" w:cs="Arial"/>
              </w:rPr>
            </w:pPr>
          </w:p>
        </w:tc>
      </w:tr>
      <w:tr w:rsidR="00EC2A34" w:rsidRPr="00733F24" w14:paraId="52D05BA3" w14:textId="77777777" w:rsidTr="00127465">
        <w:tc>
          <w:tcPr>
            <w:tcW w:w="397" w:type="dxa"/>
          </w:tcPr>
          <w:p w14:paraId="60503075" w14:textId="1EBA4C85" w:rsidR="00EC2A34" w:rsidRPr="00733F24" w:rsidRDefault="00EC2A34" w:rsidP="00EC2A34">
            <w:pPr>
              <w:rPr>
                <w:rFonts w:ascii="Garamond" w:hAnsi="Garamond" w:cs="Arial"/>
              </w:rPr>
            </w:pPr>
            <w:r w:rsidRPr="00733F24">
              <w:rPr>
                <w:rFonts w:ascii="Garamond" w:hAnsi="Garamond" w:cs="Arial"/>
              </w:rPr>
              <w:t>3.</w:t>
            </w:r>
          </w:p>
        </w:tc>
        <w:tc>
          <w:tcPr>
            <w:tcW w:w="1158" w:type="dxa"/>
          </w:tcPr>
          <w:p w14:paraId="7F5FF4E2" w14:textId="5C8EFFCE" w:rsidR="00EC2A34" w:rsidRPr="00733F24" w:rsidRDefault="00EC2A34" w:rsidP="00EC2A34">
            <w:pPr>
              <w:rPr>
                <w:rFonts w:ascii="Garamond" w:hAnsi="Garamond" w:cs="Arial"/>
                <w:b/>
                <w:bCs/>
              </w:rPr>
            </w:pPr>
            <w:r w:rsidRPr="00733F24">
              <w:rPr>
                <w:rFonts w:ascii="Garamond" w:hAnsi="Garamond" w:cs="Arial"/>
                <w:b/>
                <w:bCs/>
              </w:rPr>
              <w:t>Format</w:t>
            </w:r>
          </w:p>
        </w:tc>
        <w:tc>
          <w:tcPr>
            <w:tcW w:w="7795" w:type="dxa"/>
          </w:tcPr>
          <w:p w14:paraId="32E6AF30" w14:textId="79C6F0A0" w:rsidR="00EC2A34" w:rsidRPr="00733F24" w:rsidRDefault="00127465" w:rsidP="00EC2A34">
            <w:pPr>
              <w:rPr>
                <w:rFonts w:ascii="Garamond" w:hAnsi="Garamond" w:cs="Arial"/>
              </w:rPr>
            </w:pPr>
            <w:r w:rsidRPr="00733F24">
              <w:rPr>
                <w:rFonts w:ascii="Garamond" w:hAnsi="Garamond" w:cs="Arial"/>
              </w:rPr>
              <w:t xml:space="preserve">This </w:t>
            </w:r>
            <w:r w:rsidR="00B4049C" w:rsidRPr="00733F24">
              <w:rPr>
                <w:rFonts w:ascii="Garamond" w:hAnsi="Garamond" w:cs="Arial"/>
              </w:rPr>
              <w:t xml:space="preserve">panel involves the presentation of four </w:t>
            </w:r>
            <w:r w:rsidRPr="00733F24">
              <w:rPr>
                <w:rFonts w:ascii="Garamond" w:hAnsi="Garamond" w:cs="Arial"/>
              </w:rPr>
              <w:t>papers</w:t>
            </w:r>
            <w:r w:rsidR="00B4049C" w:rsidRPr="00733F24">
              <w:rPr>
                <w:rFonts w:ascii="Garamond" w:hAnsi="Garamond" w:cs="Arial"/>
              </w:rPr>
              <w:t xml:space="preserve"> </w:t>
            </w:r>
            <w:r w:rsidR="00733F24" w:rsidRPr="00733F24">
              <w:rPr>
                <w:rFonts w:ascii="Garamond" w:hAnsi="Garamond" w:cs="Arial"/>
              </w:rPr>
              <w:t xml:space="preserve">examining the political economy of </w:t>
            </w:r>
            <w:r w:rsidR="00B4049C" w:rsidRPr="00733F24">
              <w:rPr>
                <w:rFonts w:ascii="Garamond" w:hAnsi="Garamond" w:cs="Arial"/>
              </w:rPr>
              <w:t>nickel extraction and governance in Indonesia from a world-system perspective</w:t>
            </w:r>
            <w:r w:rsidRPr="00733F24">
              <w:rPr>
                <w:rFonts w:ascii="Garamond" w:hAnsi="Garamond" w:cs="Arial"/>
              </w:rPr>
              <w:t xml:space="preserve">. Drawing from an ongoing collaborative research initiative on </w:t>
            </w:r>
            <w:r w:rsidR="00B4049C" w:rsidRPr="00733F24">
              <w:rPr>
                <w:rFonts w:ascii="Garamond" w:hAnsi="Garamond" w:cs="Arial"/>
              </w:rPr>
              <w:t>governance of nickel</w:t>
            </w:r>
            <w:r w:rsidRPr="00733F24">
              <w:rPr>
                <w:rFonts w:ascii="Garamond" w:hAnsi="Garamond" w:cs="Arial"/>
              </w:rPr>
              <w:t xml:space="preserve">, the panel allocates </w:t>
            </w:r>
            <w:r w:rsidR="005A4918" w:rsidRPr="00733F24">
              <w:rPr>
                <w:rFonts w:ascii="Garamond" w:hAnsi="Garamond"/>
              </w:rPr>
              <w:t>15 minutes for each of the four panelists (60 minutes in total), followed by 15 minutes for the discussant’s comments and 15 minutes for the Q&amp;A session with the audience. This structure ensures a balanced discussion that allows in-depth presentations and interactive dialogue.</w:t>
            </w:r>
          </w:p>
          <w:p w14:paraId="1F427006" w14:textId="01E4240B" w:rsidR="001848B8" w:rsidRPr="00733F24" w:rsidRDefault="001848B8" w:rsidP="00EC2A34">
            <w:pPr>
              <w:rPr>
                <w:rFonts w:ascii="Garamond" w:hAnsi="Garamond" w:cs="Arial"/>
              </w:rPr>
            </w:pPr>
          </w:p>
        </w:tc>
      </w:tr>
      <w:tr w:rsidR="00EC2A34" w:rsidRPr="00733F24" w14:paraId="09CCF16B" w14:textId="77777777" w:rsidTr="00127465">
        <w:tc>
          <w:tcPr>
            <w:tcW w:w="397" w:type="dxa"/>
          </w:tcPr>
          <w:p w14:paraId="1E5864AB" w14:textId="2D1F3CFB" w:rsidR="00EC2A34" w:rsidRPr="00733F24" w:rsidRDefault="00EC2A34" w:rsidP="00EC2A34">
            <w:pPr>
              <w:rPr>
                <w:rFonts w:ascii="Garamond" w:hAnsi="Garamond" w:cs="Arial"/>
              </w:rPr>
            </w:pPr>
            <w:bookmarkStart w:id="0" w:name="_Hlk215059959"/>
            <w:r w:rsidRPr="00733F24">
              <w:rPr>
                <w:rFonts w:ascii="Garamond" w:hAnsi="Garamond" w:cs="Arial"/>
              </w:rPr>
              <w:t>4.</w:t>
            </w:r>
          </w:p>
        </w:tc>
        <w:tc>
          <w:tcPr>
            <w:tcW w:w="1158" w:type="dxa"/>
          </w:tcPr>
          <w:p w14:paraId="401AAF8A" w14:textId="5012C1B8" w:rsidR="00EC2A34" w:rsidRPr="00733F24" w:rsidRDefault="00EC2A34" w:rsidP="00EC2A34">
            <w:pPr>
              <w:rPr>
                <w:rFonts w:ascii="Garamond" w:hAnsi="Garamond" w:cs="Arial"/>
                <w:b/>
                <w:bCs/>
              </w:rPr>
            </w:pPr>
            <w:r w:rsidRPr="00733F24">
              <w:rPr>
                <w:rFonts w:ascii="Garamond" w:hAnsi="Garamond" w:cs="Arial"/>
                <w:b/>
                <w:bCs/>
              </w:rPr>
              <w:t>Panel Description</w:t>
            </w:r>
          </w:p>
        </w:tc>
        <w:tc>
          <w:tcPr>
            <w:tcW w:w="7795" w:type="dxa"/>
          </w:tcPr>
          <w:p w14:paraId="74ABEC5E" w14:textId="77777777" w:rsidR="00B4049C" w:rsidRPr="00733F24" w:rsidRDefault="00B4049C" w:rsidP="00B4049C">
            <w:pPr>
              <w:rPr>
                <w:rFonts w:ascii="Garamond" w:hAnsi="Garamond" w:cs="Arial"/>
              </w:rPr>
            </w:pPr>
            <w:r w:rsidRPr="00733F24">
              <w:rPr>
                <w:rFonts w:ascii="Garamond" w:hAnsi="Garamond" w:cs="Arial"/>
              </w:rPr>
              <w:t>The global clean energy transition, fueled by nickel, promises a sustainable future but is built on entrenched global inequalities. The global transition to clean energy has increased demand for nickel, positioning this critical mineral at the nexus of geopolitics, capital accumulation, and environmental and labor justice. This panel interrogates the legal and capitalist structures governing the global nickel industry, tracing its threads from oligarchic politics in Indonesia nations to the regulatory promises and pitfalls in core markets. This panel interrogates how the complex legal, political and economic dynamics interplay and fashion the processes of nickel extraction and processing. The panel asks a critical question: do they genuinely address the core-periphery dynamics of unequal exchange, or do they merely legitimize and greenwash a new era of extractive capitalism?</w:t>
            </w:r>
          </w:p>
          <w:p w14:paraId="0297B881" w14:textId="77777777" w:rsidR="00B4049C" w:rsidRPr="00733F24" w:rsidRDefault="00B4049C" w:rsidP="00B4049C">
            <w:pPr>
              <w:rPr>
                <w:rFonts w:ascii="Garamond" w:hAnsi="Garamond" w:cs="Arial"/>
              </w:rPr>
            </w:pPr>
          </w:p>
          <w:p w14:paraId="5ACD1C8B" w14:textId="118DE4FD" w:rsidR="00EC2A34" w:rsidRPr="00733F24" w:rsidRDefault="00B4049C" w:rsidP="00B4049C">
            <w:pPr>
              <w:rPr>
                <w:rFonts w:ascii="Garamond" w:hAnsi="Garamond" w:cs="Arial"/>
              </w:rPr>
            </w:pPr>
            <w:r w:rsidRPr="00733F24">
              <w:rPr>
                <w:rFonts w:ascii="Garamond" w:hAnsi="Garamond" w:cs="Arial"/>
              </w:rPr>
              <w:t>We trace the nickel supply chain from its source, examining how oligarchic politics in  Indonesia harness state power and law to control resources, often at a high social and environmental cost. The panel then investigates whether the EU Green Deal can disrupt this model. We argue that by focusing on corporate procedure over structural redistribution, the Green Deal risks reinforcing the very inequalities it claims to address, leaving the fundamental architecture of unequal exchange between the Global North and South intact. This panel ultimately challenges the market-led promise of a "just transition" and calls for a more radical rethinking of global production and accountability.</w:t>
            </w:r>
          </w:p>
        </w:tc>
      </w:tr>
      <w:bookmarkEnd w:id="0"/>
      <w:tr w:rsidR="00EC2A34" w:rsidRPr="00733F24" w14:paraId="0BAE4690" w14:textId="77777777" w:rsidTr="00127465">
        <w:tc>
          <w:tcPr>
            <w:tcW w:w="397" w:type="dxa"/>
          </w:tcPr>
          <w:p w14:paraId="16563F16" w14:textId="35F9C73D" w:rsidR="00EC2A34" w:rsidRPr="00733F24" w:rsidRDefault="00EC2A34" w:rsidP="00EC2A34">
            <w:pPr>
              <w:rPr>
                <w:rFonts w:ascii="Garamond" w:hAnsi="Garamond" w:cs="Arial"/>
              </w:rPr>
            </w:pPr>
            <w:r w:rsidRPr="00733F24">
              <w:rPr>
                <w:rFonts w:ascii="Garamond" w:hAnsi="Garamond" w:cs="Arial"/>
              </w:rPr>
              <w:t>5.</w:t>
            </w:r>
          </w:p>
        </w:tc>
        <w:tc>
          <w:tcPr>
            <w:tcW w:w="1158" w:type="dxa"/>
          </w:tcPr>
          <w:p w14:paraId="05BEDEBA" w14:textId="064335E8" w:rsidR="00EC2A34" w:rsidRPr="00733F24" w:rsidRDefault="00EC2A34" w:rsidP="00EC2A34">
            <w:pPr>
              <w:rPr>
                <w:rFonts w:ascii="Garamond" w:hAnsi="Garamond" w:cs="Arial"/>
                <w:b/>
                <w:bCs/>
              </w:rPr>
            </w:pPr>
            <w:r w:rsidRPr="00733F24">
              <w:rPr>
                <w:rFonts w:ascii="Garamond" w:hAnsi="Garamond" w:cs="Arial"/>
                <w:b/>
                <w:bCs/>
              </w:rPr>
              <w:t>Panelists</w:t>
            </w:r>
          </w:p>
        </w:tc>
        <w:tc>
          <w:tcPr>
            <w:tcW w:w="7795" w:type="dxa"/>
          </w:tcPr>
          <w:p w14:paraId="3580B17E" w14:textId="7D265B03" w:rsidR="00127465" w:rsidRPr="00733F24" w:rsidRDefault="00127465" w:rsidP="00127465">
            <w:pPr>
              <w:pStyle w:val="ListParagraph"/>
              <w:numPr>
                <w:ilvl w:val="0"/>
                <w:numId w:val="2"/>
              </w:numPr>
              <w:rPr>
                <w:rFonts w:ascii="Garamond" w:hAnsi="Garamond" w:cs="Arial"/>
              </w:rPr>
            </w:pPr>
            <w:r w:rsidRPr="00733F24">
              <w:rPr>
                <w:rFonts w:ascii="Garamond" w:hAnsi="Garamond" w:cs="Arial"/>
                <w:b/>
                <w:bCs/>
              </w:rPr>
              <w:t xml:space="preserve">Assoc. Prof. Dr. Herlambang P. </w:t>
            </w:r>
            <w:proofErr w:type="spellStart"/>
            <w:r w:rsidRPr="00733F24">
              <w:rPr>
                <w:rFonts w:ascii="Garamond" w:hAnsi="Garamond" w:cs="Arial"/>
                <w:b/>
                <w:bCs/>
              </w:rPr>
              <w:t>Wiratraman</w:t>
            </w:r>
            <w:proofErr w:type="spellEnd"/>
            <w:r w:rsidRPr="00733F24">
              <w:rPr>
                <w:rFonts w:ascii="Garamond" w:hAnsi="Garamond" w:cs="Arial"/>
                <w:b/>
                <w:bCs/>
              </w:rPr>
              <w:t xml:space="preserve"> (Faculty of Law, Universitas Gadjah Mada, Indonesia)</w:t>
            </w:r>
            <w:r w:rsidRPr="00733F24">
              <w:rPr>
                <w:rFonts w:ascii="Garamond" w:hAnsi="Garamond" w:cs="Arial"/>
              </w:rPr>
              <w:t xml:space="preserve">: </w:t>
            </w:r>
            <w:r w:rsidR="00733F24" w:rsidRPr="00733F24">
              <w:rPr>
                <w:rFonts w:ascii="Garamond" w:hAnsi="Garamond" w:cs="Arial"/>
                <w:i/>
                <w:iCs/>
              </w:rPr>
              <w:t>Nickel Mining and Oligarchy in National Strategic Projects: Analysis of the Political Economy of Law and Its Impact to Human Rights</w:t>
            </w:r>
            <w:r w:rsidRPr="00733F24">
              <w:rPr>
                <w:rFonts w:ascii="Garamond" w:hAnsi="Garamond" w:cs="Arial"/>
              </w:rPr>
              <w:t>.</w:t>
            </w:r>
          </w:p>
          <w:p w14:paraId="2525FE0D" w14:textId="1728E890" w:rsidR="00127465" w:rsidRPr="00733F24" w:rsidRDefault="00127465" w:rsidP="00127465">
            <w:pPr>
              <w:pStyle w:val="ListParagraph"/>
              <w:numPr>
                <w:ilvl w:val="0"/>
                <w:numId w:val="2"/>
              </w:numPr>
              <w:rPr>
                <w:rFonts w:ascii="Garamond" w:hAnsi="Garamond" w:cs="Arial"/>
              </w:rPr>
            </w:pPr>
            <w:r w:rsidRPr="00733F24">
              <w:rPr>
                <w:rFonts w:ascii="Garamond" w:hAnsi="Garamond" w:cs="Arial"/>
                <w:b/>
                <w:bCs/>
              </w:rPr>
              <w:t>Assoc.</w:t>
            </w:r>
            <w:r w:rsidR="00B4049C" w:rsidRPr="00733F24">
              <w:rPr>
                <w:rFonts w:ascii="Garamond" w:hAnsi="Garamond" w:cs="Arial"/>
                <w:b/>
                <w:bCs/>
              </w:rPr>
              <w:t xml:space="preserve"> Prof. Dr. Riccardo Fornasari </w:t>
            </w:r>
            <w:r w:rsidRPr="00733F24">
              <w:rPr>
                <w:rFonts w:ascii="Garamond" w:hAnsi="Garamond" w:cs="Arial"/>
                <w:b/>
                <w:bCs/>
              </w:rPr>
              <w:t>(</w:t>
            </w:r>
            <w:r w:rsidR="00B4049C" w:rsidRPr="00733F24">
              <w:rPr>
                <w:rFonts w:ascii="Garamond" w:hAnsi="Garamond" w:cs="Arial"/>
                <w:b/>
                <w:bCs/>
              </w:rPr>
              <w:t>University of Paris Dauphine PSL, France)</w:t>
            </w:r>
            <w:r w:rsidRPr="00733F24">
              <w:rPr>
                <w:rFonts w:ascii="Garamond" w:hAnsi="Garamond" w:cs="Arial"/>
              </w:rPr>
              <w:t>:</w:t>
            </w:r>
            <w:r w:rsidR="00733F24" w:rsidRPr="00733F24">
              <w:rPr>
                <w:rFonts w:ascii="Garamond" w:hAnsi="Garamond" w:cs="Arial"/>
              </w:rPr>
              <w:t xml:space="preserve"> </w:t>
            </w:r>
            <w:r w:rsidR="00733F24" w:rsidRPr="00733F24">
              <w:rPr>
                <w:rFonts w:ascii="Garamond" w:hAnsi="Garamond" w:cs="Arial"/>
                <w:i/>
                <w:iCs/>
              </w:rPr>
              <w:t>Nickel extraction and unequal economic and ecological exchange: unraveling US hegemony and new social compacts.</w:t>
            </w:r>
            <w:r w:rsidR="00733F24" w:rsidRPr="00733F24">
              <w:rPr>
                <w:rFonts w:ascii="Garamond" w:hAnsi="Garamond" w:cs="Arial"/>
              </w:rPr>
              <w:t xml:space="preserve"> </w:t>
            </w:r>
          </w:p>
          <w:p w14:paraId="3E1B0C17" w14:textId="45ED5F37" w:rsidR="00EC2A34" w:rsidRPr="00733F24" w:rsidRDefault="00B4049C" w:rsidP="00127465">
            <w:pPr>
              <w:pStyle w:val="ListParagraph"/>
              <w:numPr>
                <w:ilvl w:val="0"/>
                <w:numId w:val="2"/>
              </w:numPr>
              <w:rPr>
                <w:rFonts w:ascii="Garamond" w:hAnsi="Garamond" w:cs="Arial"/>
              </w:rPr>
            </w:pPr>
            <w:r w:rsidRPr="00733F24">
              <w:rPr>
                <w:rFonts w:ascii="Garamond" w:hAnsi="Garamond" w:cs="Arial"/>
                <w:b/>
                <w:bCs/>
              </w:rPr>
              <w:t xml:space="preserve">Dr. Vincenzo Maccarrone </w:t>
            </w:r>
            <w:r w:rsidR="00127465" w:rsidRPr="00733F24">
              <w:rPr>
                <w:rFonts w:ascii="Garamond" w:hAnsi="Garamond" w:cs="Arial"/>
                <w:b/>
                <w:bCs/>
              </w:rPr>
              <w:t>(</w:t>
            </w:r>
            <w:r w:rsidRPr="00733F24">
              <w:rPr>
                <w:rFonts w:ascii="Garamond" w:hAnsi="Garamond" w:cs="Arial"/>
                <w:b/>
                <w:bCs/>
              </w:rPr>
              <w:t>ENS Florence, Italy</w:t>
            </w:r>
            <w:r w:rsidR="00127465" w:rsidRPr="00733F24">
              <w:rPr>
                <w:rFonts w:ascii="Garamond" w:hAnsi="Garamond" w:cs="Arial"/>
                <w:b/>
                <w:bCs/>
              </w:rPr>
              <w:t>)</w:t>
            </w:r>
            <w:r w:rsidR="00127465" w:rsidRPr="00733F24">
              <w:rPr>
                <w:rFonts w:ascii="Garamond" w:hAnsi="Garamond" w:cs="Arial"/>
              </w:rPr>
              <w:t xml:space="preserve">: </w:t>
            </w:r>
            <w:r w:rsidR="00733F24" w:rsidRPr="00733F24">
              <w:rPr>
                <w:rFonts w:ascii="Garamond" w:hAnsi="Garamond" w:cs="Arial"/>
                <w:i/>
                <w:iCs/>
              </w:rPr>
              <w:t>The Fix that Never Was: The Corporate Sustainability Due Diligence Directive and the Limits of a Neocolonial Socio-ecological Project in relation to nickel extraction</w:t>
            </w:r>
            <w:r w:rsidR="00F14AD4">
              <w:rPr>
                <w:rFonts w:ascii="Garamond" w:hAnsi="Garamond" w:cs="Arial"/>
                <w:i/>
                <w:iCs/>
              </w:rPr>
              <w:t>.</w:t>
            </w:r>
          </w:p>
          <w:p w14:paraId="3ABBB997" w14:textId="18DF51B1" w:rsidR="00B4049C" w:rsidRPr="00733F24" w:rsidRDefault="00B4049C" w:rsidP="00127465">
            <w:pPr>
              <w:pStyle w:val="ListParagraph"/>
              <w:numPr>
                <w:ilvl w:val="0"/>
                <w:numId w:val="2"/>
              </w:numPr>
              <w:rPr>
                <w:rFonts w:ascii="Garamond" w:hAnsi="Garamond" w:cs="Arial"/>
                <w:b/>
                <w:bCs/>
              </w:rPr>
            </w:pPr>
            <w:r w:rsidRPr="00733F24">
              <w:rPr>
                <w:rFonts w:ascii="Garamond" w:hAnsi="Garamond" w:cs="Arial"/>
                <w:b/>
                <w:bCs/>
              </w:rPr>
              <w:t xml:space="preserve">Aniello Iannone (Universitas </w:t>
            </w:r>
            <w:proofErr w:type="spellStart"/>
            <w:r w:rsidRPr="00733F24">
              <w:rPr>
                <w:rFonts w:ascii="Garamond" w:hAnsi="Garamond" w:cs="Arial"/>
                <w:b/>
                <w:bCs/>
              </w:rPr>
              <w:t>Dioponeg</w:t>
            </w:r>
            <w:r w:rsidR="00F14AD4">
              <w:rPr>
                <w:rFonts w:ascii="Garamond" w:hAnsi="Garamond" w:cs="Arial"/>
                <w:b/>
                <w:bCs/>
              </w:rPr>
              <w:t>o</w:t>
            </w:r>
            <w:r w:rsidRPr="00733F24">
              <w:rPr>
                <w:rFonts w:ascii="Garamond" w:hAnsi="Garamond" w:cs="Arial"/>
                <w:b/>
                <w:bCs/>
              </w:rPr>
              <w:t>ro</w:t>
            </w:r>
            <w:proofErr w:type="spellEnd"/>
            <w:r w:rsidR="00733F24" w:rsidRPr="00733F24">
              <w:rPr>
                <w:rFonts w:ascii="Garamond" w:hAnsi="Garamond" w:cs="Arial"/>
                <w:b/>
                <w:bCs/>
              </w:rPr>
              <w:t>, Indonesia</w:t>
            </w:r>
            <w:r w:rsidRPr="00733F24">
              <w:rPr>
                <w:rFonts w:ascii="Garamond" w:hAnsi="Garamond" w:cs="Arial"/>
                <w:b/>
                <w:bCs/>
              </w:rPr>
              <w:t>)</w:t>
            </w:r>
            <w:r w:rsidR="00F14AD4" w:rsidRPr="00F14AD4">
              <w:rPr>
                <w:rFonts w:ascii="Garamond" w:hAnsi="Garamond" w:cs="Arial"/>
                <w:i/>
                <w:iCs/>
              </w:rPr>
              <w:t>: Nickel, Oligarchy, and the Reproduction of Unequal Exchange in the Energy Sector in Indonesia</w:t>
            </w:r>
            <w:r w:rsidR="00F14AD4">
              <w:rPr>
                <w:rFonts w:ascii="Garamond" w:hAnsi="Garamond" w:cs="Arial"/>
                <w:i/>
                <w:iCs/>
              </w:rPr>
              <w:t>.</w:t>
            </w:r>
          </w:p>
          <w:p w14:paraId="06732DBC" w14:textId="6344A661" w:rsidR="001848B8" w:rsidRPr="00733F24" w:rsidRDefault="001848B8" w:rsidP="001848B8">
            <w:pPr>
              <w:pStyle w:val="ListParagraph"/>
              <w:rPr>
                <w:rFonts w:ascii="Garamond" w:hAnsi="Garamond" w:cs="Arial"/>
              </w:rPr>
            </w:pPr>
          </w:p>
        </w:tc>
      </w:tr>
    </w:tbl>
    <w:p w14:paraId="41A1DF60" w14:textId="0B7E5697" w:rsidR="008314CC" w:rsidRPr="00733F24" w:rsidRDefault="008314CC" w:rsidP="008E44B6">
      <w:pPr>
        <w:tabs>
          <w:tab w:val="left" w:pos="6502"/>
        </w:tabs>
        <w:rPr>
          <w:rFonts w:ascii="Garamond" w:hAnsi="Garamond"/>
        </w:rPr>
      </w:pPr>
    </w:p>
    <w:sectPr w:rsidR="008314CC" w:rsidRPr="00733F24">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4512" w14:textId="77777777" w:rsidR="00F568B1" w:rsidRDefault="00F568B1" w:rsidP="00B51A35">
      <w:pPr>
        <w:spacing w:after="0" w:line="240" w:lineRule="auto"/>
      </w:pPr>
      <w:r>
        <w:separator/>
      </w:r>
    </w:p>
  </w:endnote>
  <w:endnote w:type="continuationSeparator" w:id="0">
    <w:p w14:paraId="37A31720" w14:textId="77777777" w:rsidR="00F568B1" w:rsidRDefault="00F568B1" w:rsidP="00B5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597F" w14:textId="720E3ED6" w:rsidR="00C43A32" w:rsidRDefault="00C43A32">
    <w:pPr>
      <w:pStyle w:val="Footer"/>
    </w:pPr>
    <w:r>
      <w:rPr>
        <w:noProof/>
      </w:rPr>
      <mc:AlternateContent>
        <mc:Choice Requires="wps">
          <w:drawing>
            <wp:anchor distT="0" distB="0" distL="0" distR="0" simplePos="0" relativeHeight="251659264" behindDoc="0" locked="0" layoutInCell="1" allowOverlap="1" wp14:anchorId="278D9540" wp14:editId="3C063179">
              <wp:simplePos x="635" y="635"/>
              <wp:positionH relativeFrom="page">
                <wp:align>left</wp:align>
              </wp:positionH>
              <wp:positionV relativeFrom="page">
                <wp:align>bottom</wp:align>
              </wp:positionV>
              <wp:extent cx="1814830" cy="357505"/>
              <wp:effectExtent l="0" t="0" r="13970" b="0"/>
              <wp:wrapNone/>
              <wp:docPr id="1933097518"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57505"/>
                      </a:xfrm>
                      <a:prstGeom prst="rect">
                        <a:avLst/>
                      </a:prstGeom>
                      <a:noFill/>
                      <a:ln>
                        <a:noFill/>
                      </a:ln>
                    </wps:spPr>
                    <wps:txbx>
                      <w:txbxContent>
                        <w:p w14:paraId="46A76611" w14:textId="1F037FEF" w:rsidR="00C43A32" w:rsidRPr="00C43A32" w:rsidRDefault="00C43A32" w:rsidP="00C43A32">
                          <w:pPr>
                            <w:spacing w:after="0"/>
                            <w:rPr>
                              <w:rFonts w:ascii="Aptos" w:eastAsia="Aptos" w:hAnsi="Aptos" w:cs="Aptos"/>
                              <w:noProof/>
                              <w:color w:val="000000"/>
                              <w:sz w:val="20"/>
                              <w:szCs w:val="20"/>
                            </w:rPr>
                          </w:pPr>
                          <w:r w:rsidRPr="00C43A32">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8D9540"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" filled="f" stroked="f">
              <v:fill o:detectmouseclick="t"/>
              <v:textbox style="mso-fit-shape-to-text:t" inset="20pt,0,0,15pt">
                <w:txbxContent>
                  <w:p w14:paraId="46A76611" w14:textId="1F037FEF" w:rsidR="00C43A32" w:rsidRPr="00C43A32" w:rsidRDefault="00C43A32" w:rsidP="00C43A32">
                    <w:pPr>
                      <w:spacing w:after="0"/>
                      <w:rPr>
                        <w:rFonts w:ascii="Aptos" w:eastAsia="Aptos" w:hAnsi="Aptos" w:cs="Aptos"/>
                        <w:noProof/>
                        <w:color w:val="000000"/>
                        <w:sz w:val="20"/>
                        <w:szCs w:val="20"/>
                      </w:rPr>
                    </w:pPr>
                    <w:r w:rsidRPr="00C43A32">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F0C8" w14:textId="4FFD3430" w:rsidR="00C43A32" w:rsidRDefault="00C43A32">
    <w:pPr>
      <w:pStyle w:val="Footer"/>
    </w:pPr>
    <w:r>
      <w:rPr>
        <w:noProof/>
      </w:rPr>
      <mc:AlternateContent>
        <mc:Choice Requires="wps">
          <w:drawing>
            <wp:anchor distT="0" distB="0" distL="0" distR="0" simplePos="0" relativeHeight="251660288" behindDoc="0" locked="0" layoutInCell="1" allowOverlap="1" wp14:anchorId="3FC7EE27" wp14:editId="4FF01941">
              <wp:simplePos x="914400" y="9433560"/>
              <wp:positionH relativeFrom="page">
                <wp:align>left</wp:align>
              </wp:positionH>
              <wp:positionV relativeFrom="page">
                <wp:align>bottom</wp:align>
              </wp:positionV>
              <wp:extent cx="1814830" cy="357505"/>
              <wp:effectExtent l="0" t="0" r="13970" b="0"/>
              <wp:wrapNone/>
              <wp:docPr id="102441552"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57505"/>
                      </a:xfrm>
                      <a:prstGeom prst="rect">
                        <a:avLst/>
                      </a:prstGeom>
                      <a:noFill/>
                      <a:ln>
                        <a:noFill/>
                      </a:ln>
                    </wps:spPr>
                    <wps:txbx>
                      <w:txbxContent>
                        <w:p w14:paraId="2210AD19" w14:textId="74CD59F1" w:rsidR="00C43A32" w:rsidRPr="00C43A32" w:rsidRDefault="00C43A32" w:rsidP="00C43A32">
                          <w:pPr>
                            <w:spacing w:after="0"/>
                            <w:rPr>
                              <w:rFonts w:ascii="Aptos" w:eastAsia="Aptos" w:hAnsi="Aptos" w:cs="Aptos"/>
                              <w:noProof/>
                              <w:color w:val="000000"/>
                              <w:sz w:val="20"/>
                              <w:szCs w:val="20"/>
                            </w:rPr>
                          </w:pPr>
                          <w:r w:rsidRPr="00C43A32">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C7EE27"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2.9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" filled="f" stroked="f">
              <v:fill o:detectmouseclick="t"/>
              <v:textbox style="mso-fit-shape-to-text:t" inset="20pt,0,0,15pt">
                <w:txbxContent>
                  <w:p w14:paraId="2210AD19" w14:textId="74CD59F1" w:rsidR="00C43A32" w:rsidRPr="00C43A32" w:rsidRDefault="00C43A32" w:rsidP="00C43A32">
                    <w:pPr>
                      <w:spacing w:after="0"/>
                      <w:rPr>
                        <w:rFonts w:ascii="Aptos" w:eastAsia="Aptos" w:hAnsi="Aptos" w:cs="Aptos"/>
                        <w:noProof/>
                        <w:color w:val="000000"/>
                        <w:sz w:val="20"/>
                        <w:szCs w:val="20"/>
                      </w:rPr>
                    </w:pPr>
                    <w:r w:rsidRPr="00C43A32">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3FB6" w14:textId="70EFAD23" w:rsidR="00C43A32" w:rsidRDefault="00C43A32">
    <w:pPr>
      <w:pStyle w:val="Footer"/>
    </w:pPr>
    <w:r>
      <w:rPr>
        <w:noProof/>
      </w:rPr>
      <mc:AlternateContent>
        <mc:Choice Requires="wps">
          <w:drawing>
            <wp:anchor distT="0" distB="0" distL="0" distR="0" simplePos="0" relativeHeight="251658240" behindDoc="0" locked="0" layoutInCell="1" allowOverlap="1" wp14:anchorId="35D1FC0B" wp14:editId="40EA78C9">
              <wp:simplePos x="635" y="635"/>
              <wp:positionH relativeFrom="page">
                <wp:align>left</wp:align>
              </wp:positionH>
              <wp:positionV relativeFrom="page">
                <wp:align>bottom</wp:align>
              </wp:positionV>
              <wp:extent cx="1814830" cy="357505"/>
              <wp:effectExtent l="0" t="0" r="13970" b="0"/>
              <wp:wrapNone/>
              <wp:docPr id="1733469688"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57505"/>
                      </a:xfrm>
                      <a:prstGeom prst="rect">
                        <a:avLst/>
                      </a:prstGeom>
                      <a:noFill/>
                      <a:ln>
                        <a:noFill/>
                      </a:ln>
                    </wps:spPr>
                    <wps:txbx>
                      <w:txbxContent>
                        <w:p w14:paraId="640A29A6" w14:textId="74ECBD7D" w:rsidR="00C43A32" w:rsidRPr="00C43A32" w:rsidRDefault="00C43A32" w:rsidP="00C43A32">
                          <w:pPr>
                            <w:spacing w:after="0"/>
                            <w:rPr>
                              <w:rFonts w:ascii="Aptos" w:eastAsia="Aptos" w:hAnsi="Aptos" w:cs="Aptos"/>
                              <w:noProof/>
                              <w:color w:val="000000"/>
                              <w:sz w:val="20"/>
                              <w:szCs w:val="20"/>
                            </w:rPr>
                          </w:pPr>
                          <w:r w:rsidRPr="00C43A32">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D1FC0B"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2.9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" filled="f" stroked="f">
              <v:fill o:detectmouseclick="t"/>
              <v:textbox style="mso-fit-shape-to-text:t" inset="20pt,0,0,15pt">
                <w:txbxContent>
                  <w:p w14:paraId="640A29A6" w14:textId="74ECBD7D" w:rsidR="00C43A32" w:rsidRPr="00C43A32" w:rsidRDefault="00C43A32" w:rsidP="00C43A32">
                    <w:pPr>
                      <w:spacing w:after="0"/>
                      <w:rPr>
                        <w:rFonts w:ascii="Aptos" w:eastAsia="Aptos" w:hAnsi="Aptos" w:cs="Aptos"/>
                        <w:noProof/>
                        <w:color w:val="000000"/>
                        <w:sz w:val="20"/>
                        <w:szCs w:val="20"/>
                      </w:rPr>
                    </w:pPr>
                    <w:r w:rsidRPr="00C43A32">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CD791" w14:textId="77777777" w:rsidR="00F568B1" w:rsidRDefault="00F568B1" w:rsidP="00B51A35">
      <w:pPr>
        <w:spacing w:after="0" w:line="240" w:lineRule="auto"/>
      </w:pPr>
      <w:r>
        <w:separator/>
      </w:r>
    </w:p>
  </w:footnote>
  <w:footnote w:type="continuationSeparator" w:id="0">
    <w:p w14:paraId="68C56DDC" w14:textId="77777777" w:rsidR="00F568B1" w:rsidRDefault="00F568B1" w:rsidP="00B51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B5AE" w14:textId="621EC1AE" w:rsidR="00B51A35" w:rsidRPr="00733F24" w:rsidRDefault="00B51A35" w:rsidP="00EC2A34">
    <w:pPr>
      <w:pStyle w:val="Header"/>
      <w:tabs>
        <w:tab w:val="clear" w:pos="4513"/>
        <w:tab w:val="clear" w:pos="9026"/>
        <w:tab w:val="left" w:pos="1340"/>
      </w:tabs>
      <w:jc w:val="center"/>
      <w:rPr>
        <w:rFonts w:ascii="Garamond" w:hAnsi="Garamond" w:cs="Arial"/>
      </w:rPr>
    </w:pPr>
    <w:r w:rsidRPr="00733F24">
      <w:rPr>
        <w:rFonts w:ascii="Garamond" w:hAnsi="Garamond" w:cs="Arial"/>
        <w:color w:val="252525"/>
        <w:shd w:val="clear" w:color="auto" w:fill="FFFFFF"/>
      </w:rPr>
      <w:t>European Association for Southeast Asian Studies (EuroSEAS) Conference</w:t>
    </w:r>
  </w:p>
  <w:p w14:paraId="58008B6F" w14:textId="7E768C49" w:rsidR="00B51A35" w:rsidRPr="00733F24" w:rsidRDefault="00B51A35" w:rsidP="00EC2A34">
    <w:pPr>
      <w:pStyle w:val="Header"/>
      <w:tabs>
        <w:tab w:val="clear" w:pos="4513"/>
        <w:tab w:val="clear" w:pos="9026"/>
        <w:tab w:val="left" w:pos="1340"/>
      </w:tabs>
      <w:jc w:val="center"/>
      <w:rPr>
        <w:rFonts w:ascii="Garamond" w:hAnsi="Garamond" w:cs="Arial"/>
        <w:color w:val="252525"/>
        <w:shd w:val="clear" w:color="auto" w:fill="FFFFFF"/>
      </w:rPr>
    </w:pPr>
    <w:r w:rsidRPr="00733F24">
      <w:rPr>
        <w:rFonts w:ascii="Garamond" w:hAnsi="Garamond" w:cs="Arial"/>
        <w:color w:val="252525"/>
        <w:shd w:val="clear" w:color="auto" w:fill="FFFFFF"/>
      </w:rPr>
      <w:t>Universidad Complutense, Madrid |1 September – 3 September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70217"/>
    <w:multiLevelType w:val="hybridMultilevel"/>
    <w:tmpl w:val="B524B1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754CFD"/>
    <w:multiLevelType w:val="hybridMultilevel"/>
    <w:tmpl w:val="3B601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2895996">
    <w:abstractNumId w:val="1"/>
  </w:num>
  <w:num w:numId="2" w16cid:durableId="143015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C7"/>
    <w:rsid w:val="00007868"/>
    <w:rsid w:val="00051B68"/>
    <w:rsid w:val="00052238"/>
    <w:rsid w:val="00092BC2"/>
    <w:rsid w:val="000A07B4"/>
    <w:rsid w:val="000C05F5"/>
    <w:rsid w:val="000F209D"/>
    <w:rsid w:val="000F2C13"/>
    <w:rsid w:val="00104E3D"/>
    <w:rsid w:val="00114C6A"/>
    <w:rsid w:val="001243FE"/>
    <w:rsid w:val="00127465"/>
    <w:rsid w:val="001360CD"/>
    <w:rsid w:val="00156709"/>
    <w:rsid w:val="00160B96"/>
    <w:rsid w:val="00167AD5"/>
    <w:rsid w:val="001768B8"/>
    <w:rsid w:val="001848B8"/>
    <w:rsid w:val="00192A34"/>
    <w:rsid w:val="001960E3"/>
    <w:rsid w:val="001A3BFD"/>
    <w:rsid w:val="001B535F"/>
    <w:rsid w:val="001E6CB4"/>
    <w:rsid w:val="00211D90"/>
    <w:rsid w:val="002146C8"/>
    <w:rsid w:val="00215F7E"/>
    <w:rsid w:val="00241D75"/>
    <w:rsid w:val="002454BF"/>
    <w:rsid w:val="002466C7"/>
    <w:rsid w:val="00286AE5"/>
    <w:rsid w:val="00287819"/>
    <w:rsid w:val="002901A9"/>
    <w:rsid w:val="002D2534"/>
    <w:rsid w:val="002F1B36"/>
    <w:rsid w:val="002F1C9D"/>
    <w:rsid w:val="002F733C"/>
    <w:rsid w:val="00315D22"/>
    <w:rsid w:val="00336919"/>
    <w:rsid w:val="00372613"/>
    <w:rsid w:val="00390EF8"/>
    <w:rsid w:val="003C38AF"/>
    <w:rsid w:val="003C7E1F"/>
    <w:rsid w:val="00442D3D"/>
    <w:rsid w:val="00470BF7"/>
    <w:rsid w:val="004C187D"/>
    <w:rsid w:val="004C5F80"/>
    <w:rsid w:val="004D16CA"/>
    <w:rsid w:val="004E117E"/>
    <w:rsid w:val="004F43F1"/>
    <w:rsid w:val="005011B5"/>
    <w:rsid w:val="00525C57"/>
    <w:rsid w:val="00550E82"/>
    <w:rsid w:val="00572A72"/>
    <w:rsid w:val="0058171B"/>
    <w:rsid w:val="00595A9E"/>
    <w:rsid w:val="005965CF"/>
    <w:rsid w:val="005A4918"/>
    <w:rsid w:val="005C1394"/>
    <w:rsid w:val="005C6B0E"/>
    <w:rsid w:val="005D29E9"/>
    <w:rsid w:val="005E21BF"/>
    <w:rsid w:val="005E5F86"/>
    <w:rsid w:val="00641BB0"/>
    <w:rsid w:val="00670047"/>
    <w:rsid w:val="00670819"/>
    <w:rsid w:val="00685BA2"/>
    <w:rsid w:val="006C1821"/>
    <w:rsid w:val="006C75C3"/>
    <w:rsid w:val="006D2504"/>
    <w:rsid w:val="006D43EB"/>
    <w:rsid w:val="006D5FB2"/>
    <w:rsid w:val="007248CA"/>
    <w:rsid w:val="00733F24"/>
    <w:rsid w:val="00752CEC"/>
    <w:rsid w:val="007810A2"/>
    <w:rsid w:val="007A2429"/>
    <w:rsid w:val="007E0E98"/>
    <w:rsid w:val="007F5CD8"/>
    <w:rsid w:val="00800E2C"/>
    <w:rsid w:val="00817AB6"/>
    <w:rsid w:val="00826578"/>
    <w:rsid w:val="008314CC"/>
    <w:rsid w:val="00850850"/>
    <w:rsid w:val="008847C0"/>
    <w:rsid w:val="008931B3"/>
    <w:rsid w:val="008A055F"/>
    <w:rsid w:val="008D13C7"/>
    <w:rsid w:val="008E447B"/>
    <w:rsid w:val="008E44B6"/>
    <w:rsid w:val="008F672D"/>
    <w:rsid w:val="008F6CEA"/>
    <w:rsid w:val="009241C7"/>
    <w:rsid w:val="00932C90"/>
    <w:rsid w:val="009409C6"/>
    <w:rsid w:val="00947DBF"/>
    <w:rsid w:val="00962EDF"/>
    <w:rsid w:val="0097680F"/>
    <w:rsid w:val="009863DE"/>
    <w:rsid w:val="009865B8"/>
    <w:rsid w:val="009B384A"/>
    <w:rsid w:val="009B4872"/>
    <w:rsid w:val="009D30CB"/>
    <w:rsid w:val="009F6991"/>
    <w:rsid w:val="00A0050A"/>
    <w:rsid w:val="00A113F3"/>
    <w:rsid w:val="00A45A7A"/>
    <w:rsid w:val="00A83A75"/>
    <w:rsid w:val="00A94351"/>
    <w:rsid w:val="00A94509"/>
    <w:rsid w:val="00AA7CC2"/>
    <w:rsid w:val="00AF7EDA"/>
    <w:rsid w:val="00B25EFA"/>
    <w:rsid w:val="00B32B34"/>
    <w:rsid w:val="00B4049C"/>
    <w:rsid w:val="00B41468"/>
    <w:rsid w:val="00B51A35"/>
    <w:rsid w:val="00B53602"/>
    <w:rsid w:val="00B5401B"/>
    <w:rsid w:val="00B57546"/>
    <w:rsid w:val="00B94827"/>
    <w:rsid w:val="00BB25B9"/>
    <w:rsid w:val="00BB45A6"/>
    <w:rsid w:val="00BE0E5C"/>
    <w:rsid w:val="00C425A2"/>
    <w:rsid w:val="00C43A32"/>
    <w:rsid w:val="00C53E82"/>
    <w:rsid w:val="00C570AE"/>
    <w:rsid w:val="00C913D8"/>
    <w:rsid w:val="00CA6548"/>
    <w:rsid w:val="00CC2D99"/>
    <w:rsid w:val="00CF17AA"/>
    <w:rsid w:val="00D17102"/>
    <w:rsid w:val="00D4380D"/>
    <w:rsid w:val="00D51E44"/>
    <w:rsid w:val="00DB0E23"/>
    <w:rsid w:val="00DB55B7"/>
    <w:rsid w:val="00DD222A"/>
    <w:rsid w:val="00DD6975"/>
    <w:rsid w:val="00DE3072"/>
    <w:rsid w:val="00DE3C49"/>
    <w:rsid w:val="00DF1646"/>
    <w:rsid w:val="00DF3112"/>
    <w:rsid w:val="00DF53C7"/>
    <w:rsid w:val="00E10912"/>
    <w:rsid w:val="00E1374B"/>
    <w:rsid w:val="00E17EB4"/>
    <w:rsid w:val="00E31874"/>
    <w:rsid w:val="00E36BDE"/>
    <w:rsid w:val="00E40BE9"/>
    <w:rsid w:val="00E40EA1"/>
    <w:rsid w:val="00E45296"/>
    <w:rsid w:val="00E60B76"/>
    <w:rsid w:val="00E73F6A"/>
    <w:rsid w:val="00E7493F"/>
    <w:rsid w:val="00E95020"/>
    <w:rsid w:val="00E962C3"/>
    <w:rsid w:val="00EA7C00"/>
    <w:rsid w:val="00EC2A34"/>
    <w:rsid w:val="00EE489C"/>
    <w:rsid w:val="00EE772C"/>
    <w:rsid w:val="00F14AD4"/>
    <w:rsid w:val="00F33606"/>
    <w:rsid w:val="00F50321"/>
    <w:rsid w:val="00F568B1"/>
    <w:rsid w:val="00F7282E"/>
    <w:rsid w:val="00F878B3"/>
    <w:rsid w:val="00F87C8A"/>
    <w:rsid w:val="00FA3803"/>
    <w:rsid w:val="00FA7120"/>
    <w:rsid w:val="00FD2E55"/>
    <w:rsid w:val="00FD3DF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74E8"/>
  <w15:chartTrackingRefBased/>
  <w15:docId w15:val="{A289EC4F-2AD9-44ED-BEE2-6CD25826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1C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9241C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9241C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9241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1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1C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9241C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9241C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9241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1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1C7"/>
    <w:rPr>
      <w:rFonts w:eastAsiaTheme="majorEastAsia" w:cstheme="majorBidi"/>
      <w:color w:val="272727" w:themeColor="text1" w:themeTint="D8"/>
    </w:rPr>
  </w:style>
  <w:style w:type="paragraph" w:styleId="Title">
    <w:name w:val="Title"/>
    <w:basedOn w:val="Normal"/>
    <w:next w:val="Normal"/>
    <w:link w:val="TitleChar"/>
    <w:uiPriority w:val="10"/>
    <w:qFormat/>
    <w:rsid w:val="009241C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241C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241C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241C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241C7"/>
    <w:pPr>
      <w:spacing w:before="160"/>
      <w:jc w:val="center"/>
    </w:pPr>
    <w:rPr>
      <w:i/>
      <w:iCs/>
      <w:color w:val="404040" w:themeColor="text1" w:themeTint="BF"/>
    </w:rPr>
  </w:style>
  <w:style w:type="character" w:customStyle="1" w:styleId="QuoteChar">
    <w:name w:val="Quote Char"/>
    <w:basedOn w:val="DefaultParagraphFont"/>
    <w:link w:val="Quote"/>
    <w:uiPriority w:val="29"/>
    <w:rsid w:val="009241C7"/>
    <w:rPr>
      <w:i/>
      <w:iCs/>
      <w:color w:val="404040" w:themeColor="text1" w:themeTint="BF"/>
    </w:rPr>
  </w:style>
  <w:style w:type="paragraph" w:styleId="ListParagraph">
    <w:name w:val="List Paragraph"/>
    <w:basedOn w:val="Normal"/>
    <w:uiPriority w:val="34"/>
    <w:qFormat/>
    <w:rsid w:val="009241C7"/>
    <w:pPr>
      <w:ind w:left="720"/>
      <w:contextualSpacing/>
    </w:pPr>
  </w:style>
  <w:style w:type="character" w:styleId="IntenseEmphasis">
    <w:name w:val="Intense Emphasis"/>
    <w:basedOn w:val="DefaultParagraphFont"/>
    <w:uiPriority w:val="21"/>
    <w:qFormat/>
    <w:rsid w:val="009241C7"/>
    <w:rPr>
      <w:i/>
      <w:iCs/>
      <w:color w:val="0F4761" w:themeColor="accent1" w:themeShade="BF"/>
    </w:rPr>
  </w:style>
  <w:style w:type="paragraph" w:styleId="IntenseQuote">
    <w:name w:val="Intense Quote"/>
    <w:basedOn w:val="Normal"/>
    <w:next w:val="Normal"/>
    <w:link w:val="IntenseQuoteChar"/>
    <w:uiPriority w:val="30"/>
    <w:qFormat/>
    <w:rsid w:val="00924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1C7"/>
    <w:rPr>
      <w:i/>
      <w:iCs/>
      <w:color w:val="0F4761" w:themeColor="accent1" w:themeShade="BF"/>
    </w:rPr>
  </w:style>
  <w:style w:type="character" w:styleId="IntenseReference">
    <w:name w:val="Intense Reference"/>
    <w:basedOn w:val="DefaultParagraphFont"/>
    <w:uiPriority w:val="32"/>
    <w:qFormat/>
    <w:rsid w:val="009241C7"/>
    <w:rPr>
      <w:b/>
      <w:bCs/>
      <w:smallCaps/>
      <w:color w:val="0F4761" w:themeColor="accent1" w:themeShade="BF"/>
      <w:spacing w:val="5"/>
    </w:rPr>
  </w:style>
  <w:style w:type="character" w:styleId="Hyperlink">
    <w:name w:val="Hyperlink"/>
    <w:basedOn w:val="DefaultParagraphFont"/>
    <w:uiPriority w:val="99"/>
    <w:unhideWhenUsed/>
    <w:rsid w:val="009409C6"/>
    <w:rPr>
      <w:color w:val="467886" w:themeColor="hyperlink"/>
      <w:u w:val="single"/>
    </w:rPr>
  </w:style>
  <w:style w:type="character" w:styleId="UnresolvedMention">
    <w:name w:val="Unresolved Mention"/>
    <w:basedOn w:val="DefaultParagraphFont"/>
    <w:uiPriority w:val="99"/>
    <w:semiHidden/>
    <w:unhideWhenUsed/>
    <w:rsid w:val="009409C6"/>
    <w:rPr>
      <w:color w:val="605E5C"/>
      <w:shd w:val="clear" w:color="auto" w:fill="E1DFDD"/>
    </w:rPr>
  </w:style>
  <w:style w:type="paragraph" w:styleId="Header">
    <w:name w:val="header"/>
    <w:basedOn w:val="Normal"/>
    <w:link w:val="HeaderChar"/>
    <w:uiPriority w:val="99"/>
    <w:unhideWhenUsed/>
    <w:rsid w:val="00B51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A35"/>
  </w:style>
  <w:style w:type="paragraph" w:styleId="Footer">
    <w:name w:val="footer"/>
    <w:basedOn w:val="Normal"/>
    <w:link w:val="FooterChar"/>
    <w:uiPriority w:val="99"/>
    <w:unhideWhenUsed/>
    <w:rsid w:val="00B51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A35"/>
  </w:style>
  <w:style w:type="table" w:styleId="TableGrid">
    <w:name w:val="Table Grid"/>
    <w:basedOn w:val="TableNormal"/>
    <w:uiPriority w:val="39"/>
    <w:rsid w:val="00EC2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2732</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Sriprapha Petcharamesree</dc:creator>
  <cp:keywords/>
  <dc:description/>
  <cp:lastModifiedBy>Siegers, S.R. (Yayah)</cp:lastModifiedBy>
  <cp:revision>3</cp:revision>
  <dcterms:created xsi:type="dcterms:W3CDTF">2025-12-03T00:25:00Z</dcterms:created>
  <dcterms:modified xsi:type="dcterms:W3CDTF">2025-12-03T00:29:00Z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6752a5f8,7338ba2e,61b2250</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