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B51DF" w:rsidRDefault="00017530">
      <w:pPr>
        <w:rPr>
          <w:rFonts w:ascii="Roboto" w:eastAsia="Roboto" w:hAnsi="Roboto" w:cs="Roboto"/>
          <w:b/>
        </w:rPr>
      </w:pPr>
      <w:r>
        <w:rPr>
          <w:rFonts w:ascii="Roboto" w:eastAsia="Roboto" w:hAnsi="Roboto" w:cs="Roboto"/>
          <w:b/>
        </w:rPr>
        <w:t>Panel proposal for EuroSEAS 1,3 September 2026 - U</w:t>
      </w:r>
      <w:r>
        <w:rPr>
          <w:rFonts w:ascii="Roboto" w:eastAsia="Roboto" w:hAnsi="Roboto" w:cs="Roboto"/>
          <w:b/>
          <w:color w:val="000000"/>
          <w:highlight w:val="white"/>
        </w:rPr>
        <w:t>niversidad Complutense, Faculty of Political Science and Sociology - Madrid</w:t>
      </w:r>
    </w:p>
    <w:p w14:paraId="00000002" w14:textId="77777777" w:rsidR="007B51DF" w:rsidRDefault="007B51DF">
      <w:pPr>
        <w:rPr>
          <w:rFonts w:ascii="Roboto" w:eastAsia="Roboto" w:hAnsi="Roboto" w:cs="Roboto"/>
        </w:rPr>
      </w:pPr>
    </w:p>
    <w:p w14:paraId="00000003" w14:textId="77777777" w:rsidR="007B51DF" w:rsidRDefault="00017530">
      <w:pPr>
        <w:rPr>
          <w:rFonts w:ascii="Roboto" w:eastAsia="Roboto" w:hAnsi="Roboto" w:cs="Roboto"/>
          <w:b/>
          <w:highlight w:val="white"/>
        </w:rPr>
      </w:pPr>
      <w:r>
        <w:rPr>
          <w:rFonts w:ascii="Roboto" w:eastAsia="Roboto" w:hAnsi="Roboto" w:cs="Roboto"/>
          <w:b/>
        </w:rPr>
        <w:t>1) Title: Exchanges Between the Middle East and Southeast Asia:</w:t>
      </w:r>
      <w:r>
        <w:rPr>
          <w:rFonts w:ascii="Roboto" w:eastAsia="Roboto" w:hAnsi="Roboto" w:cs="Roboto"/>
          <w:b/>
          <w:highlight w:val="white"/>
        </w:rPr>
        <w:t xml:space="preserve"> Routes of Political Ideas and Movements in a Global Micro-Historical Approach.</w:t>
      </w:r>
    </w:p>
    <w:p w14:paraId="00000004" w14:textId="77777777" w:rsidR="007B51DF" w:rsidRDefault="007B51DF">
      <w:pPr>
        <w:rPr>
          <w:rFonts w:ascii="Roboto" w:eastAsia="Roboto" w:hAnsi="Roboto" w:cs="Roboto"/>
          <w:highlight w:val="white"/>
        </w:rPr>
      </w:pPr>
    </w:p>
    <w:p w14:paraId="00000005" w14:textId="77777777" w:rsidR="007B51DF" w:rsidRDefault="00017530">
      <w:pPr>
        <w:rPr>
          <w:rFonts w:ascii="Roboto" w:eastAsia="Roboto" w:hAnsi="Roboto" w:cs="Roboto"/>
          <w:b/>
        </w:rPr>
      </w:pPr>
      <w:r>
        <w:rPr>
          <w:rFonts w:ascii="Roboto" w:eastAsia="Roboto" w:hAnsi="Roboto" w:cs="Roboto"/>
          <w:b/>
        </w:rPr>
        <w:t>2) Panel Conveners/Panel Chair:</w:t>
      </w:r>
    </w:p>
    <w:p w14:paraId="00000006" w14:textId="77777777" w:rsidR="007B51DF" w:rsidRDefault="007B51DF">
      <w:pPr>
        <w:rPr>
          <w:rFonts w:ascii="Roboto" w:eastAsia="Roboto" w:hAnsi="Roboto" w:cs="Roboto"/>
        </w:rPr>
      </w:pPr>
    </w:p>
    <w:p w14:paraId="00000007" w14:textId="77777777" w:rsidR="007B51DF" w:rsidRDefault="00017530">
      <w:pPr>
        <w:rPr>
          <w:rFonts w:ascii="Roboto" w:eastAsia="Roboto" w:hAnsi="Roboto" w:cs="Roboto"/>
        </w:rPr>
      </w:pPr>
      <w:r>
        <w:rPr>
          <w:rFonts w:ascii="Roboto" w:eastAsia="Roboto" w:hAnsi="Roboto" w:cs="Roboto"/>
        </w:rPr>
        <w:t>Luigi Sausa, PhD in</w:t>
      </w:r>
      <w:r>
        <w:rPr>
          <w:rFonts w:ascii="Roboto" w:eastAsia="Roboto" w:hAnsi="Roboto" w:cs="Roboto"/>
          <w:highlight w:val="white"/>
        </w:rPr>
        <w:t xml:space="preserve"> Linguistic Anthropology, U</w:t>
      </w:r>
      <w:r>
        <w:rPr>
          <w:rFonts w:ascii="Roboto" w:eastAsia="Roboto" w:hAnsi="Roboto" w:cs="Roboto"/>
        </w:rPr>
        <w:t>niversity of Naples “L’Orientale”</w:t>
      </w:r>
    </w:p>
    <w:p w14:paraId="00000008" w14:textId="77777777" w:rsidR="007B51DF" w:rsidRDefault="007B51DF">
      <w:pPr>
        <w:rPr>
          <w:rFonts w:ascii="Roboto" w:eastAsia="Roboto" w:hAnsi="Roboto" w:cs="Roboto"/>
        </w:rPr>
      </w:pPr>
    </w:p>
    <w:p w14:paraId="00000009" w14:textId="77777777" w:rsidR="007B51DF" w:rsidRDefault="00017530">
      <w:pPr>
        <w:rPr>
          <w:rFonts w:ascii="Roboto" w:eastAsia="Roboto" w:hAnsi="Roboto" w:cs="Roboto"/>
        </w:rPr>
      </w:pPr>
      <w:r>
        <w:rPr>
          <w:rFonts w:ascii="Roboto" w:eastAsia="Roboto" w:hAnsi="Roboto" w:cs="Roboto"/>
        </w:rPr>
        <w:t>Pietro Menghini, PhD in Global History and Governance, Scuola Superiore Meridionale – University of Naples “Federico II”</w:t>
      </w:r>
    </w:p>
    <w:p w14:paraId="0000000A" w14:textId="77777777" w:rsidR="007B51DF" w:rsidRDefault="007B51DF">
      <w:pPr>
        <w:rPr>
          <w:rFonts w:ascii="Roboto" w:eastAsia="Roboto" w:hAnsi="Roboto" w:cs="Roboto"/>
        </w:rPr>
      </w:pPr>
    </w:p>
    <w:p w14:paraId="0000000B" w14:textId="77777777" w:rsidR="007B51DF" w:rsidRDefault="00017530">
      <w:pPr>
        <w:rPr>
          <w:rFonts w:ascii="Roboto" w:eastAsia="Roboto" w:hAnsi="Roboto" w:cs="Roboto"/>
        </w:rPr>
      </w:pPr>
      <w:r>
        <w:rPr>
          <w:rFonts w:ascii="Roboto" w:eastAsia="Roboto" w:hAnsi="Roboto" w:cs="Roboto"/>
          <w:b/>
        </w:rPr>
        <w:t>3) Format</w:t>
      </w:r>
      <w:r>
        <w:rPr>
          <w:rFonts w:ascii="Roboto" w:eastAsia="Roboto" w:hAnsi="Roboto" w:cs="Roboto"/>
        </w:rPr>
        <w:t>:</w:t>
      </w:r>
    </w:p>
    <w:p w14:paraId="0000000C" w14:textId="77777777" w:rsidR="007B51DF" w:rsidRDefault="00017530">
      <w:pPr>
        <w:rPr>
          <w:rFonts w:ascii="Roboto" w:eastAsia="Roboto" w:hAnsi="Roboto" w:cs="Roboto"/>
        </w:rPr>
      </w:pPr>
      <w:r>
        <w:rPr>
          <w:rFonts w:ascii="Roboto" w:eastAsia="Roboto" w:hAnsi="Roboto" w:cs="Roboto"/>
        </w:rPr>
        <w:t>Selected participants (up to three) will need to submit draft papers of their presentations (max 20 pages, Times New Roman, 12pt, 1.5 spacing—including bibliography and notes) for pre-circulation among themselves, the discussants, and the panel chairs. During the panel, each participant will have ten minutes to introduce their work. The discussant will then have five minutes to provide observations and outline general questions to open the discussion with panel members and the audience, which will last 15 m</w:t>
      </w:r>
      <w:r>
        <w:rPr>
          <w:rFonts w:ascii="Roboto" w:eastAsia="Roboto" w:hAnsi="Roboto" w:cs="Roboto"/>
        </w:rPr>
        <w:t>inutes. This approach focuses on the discussion, enabling participants to gain the most from interactions with the discussant and fellow panelists. Additionally, since the discussion will be based on pre-circulated papers, all panel members will be able to engage meaningfully with each presentation and offer timely comments. This format fosters a “workshop-like” environment and discussion, and, as we aim to promote a stimulating methodological debate, we believe this is the best format.</w:t>
      </w:r>
    </w:p>
    <w:p w14:paraId="0000000D" w14:textId="77777777" w:rsidR="007B51DF" w:rsidRDefault="007B51DF">
      <w:pPr>
        <w:rPr>
          <w:rFonts w:ascii="Roboto" w:eastAsia="Roboto" w:hAnsi="Roboto" w:cs="Roboto"/>
        </w:rPr>
      </w:pPr>
    </w:p>
    <w:p w14:paraId="0000000E" w14:textId="77777777" w:rsidR="007B51DF" w:rsidRDefault="00017530">
      <w:pPr>
        <w:rPr>
          <w:rFonts w:ascii="Roboto" w:eastAsia="Roboto" w:hAnsi="Roboto" w:cs="Roboto"/>
        </w:rPr>
      </w:pPr>
      <w:r>
        <w:rPr>
          <w:rFonts w:ascii="Roboto" w:eastAsia="Roboto" w:hAnsi="Roboto" w:cs="Roboto"/>
          <w:b/>
        </w:rPr>
        <w:t>4) Description of the Panel:</w:t>
      </w:r>
    </w:p>
    <w:p w14:paraId="0000000F" w14:textId="77777777" w:rsidR="007B51DF" w:rsidRDefault="00017530">
      <w:pPr>
        <w:rPr>
          <w:rFonts w:ascii="Roboto" w:eastAsia="Roboto" w:hAnsi="Roboto" w:cs="Roboto"/>
        </w:rPr>
      </w:pPr>
      <w:r>
        <w:rPr>
          <w:rFonts w:ascii="Roboto" w:eastAsia="Roboto" w:hAnsi="Roboto" w:cs="Roboto"/>
        </w:rPr>
        <w:t>The panel calls for methodological reflections based on concrete case studies on how to trace the exchange, adaptation, and reinterpretation of political ideas, practices, and movements between the Middle East and Indonesia during the 20th century. The panel originates from the conveners’ research on the transmission of political Shi’ism from the 1950s and 1960s in Najaf, Iraq, to Indonesia, and its significance for both sides of this exchange (Sausa &amp; Menghini, forthcoming). In this sense, the panel also i</w:t>
      </w:r>
      <w:r>
        <w:rPr>
          <w:rFonts w:ascii="Roboto" w:eastAsia="Roboto" w:hAnsi="Roboto" w:cs="Roboto"/>
        </w:rPr>
        <w:t>nvites proposals that focus on challenging the center-periphery relationship between the Middle East—also seen as, but not limited to, the heartland of the Islamic world—</w:t>
      </w:r>
      <w:r>
        <w:rPr>
          <w:rFonts w:ascii="Roboto" w:eastAsia="Roboto" w:hAnsi="Roboto" w:cs="Roboto"/>
          <w:highlight w:val="white"/>
        </w:rPr>
        <w:t>and Southeast Asia. Buil</w:t>
      </w:r>
      <w:r>
        <w:rPr>
          <w:rFonts w:ascii="Roboto" w:eastAsia="Roboto" w:hAnsi="Roboto" w:cs="Roboto"/>
        </w:rPr>
        <w:t>ding on the numerous contributions about the connection between these two regions through Hajj routes, scholarly networks, and economic links (Von der Mehden 1993; Ho 2006; Laffan 2011; Ricci 2011; Tagliacozzo 2013; Bradley 2014), the panel seeks contributions exploring alternative routes of connection between Indone</w:t>
      </w:r>
      <w:r>
        <w:rPr>
          <w:rFonts w:ascii="Roboto" w:eastAsia="Roboto" w:hAnsi="Roboto" w:cs="Roboto"/>
        </w:rPr>
        <w:t>sia and the Middle East. These should focus on the exchange of political ideas, practices, texts, and the circulation of people involved in political movements. Additionally, the panel aims to use these case studies to foster a methodological conversation on how a global micro-historical approach (Ghobrial 2019) can help reconstruct the global lives (Gamsa 2017) of non-elite or subaltern actors (Trivellato 2011). Emphasizing the circulation of people and objects, primarily texts, can help connect a broad ge</w:t>
      </w:r>
      <w:r>
        <w:rPr>
          <w:rFonts w:ascii="Roboto" w:eastAsia="Roboto" w:hAnsi="Roboto" w:cs="Roboto"/>
        </w:rPr>
        <w:t>ographical research scope (De Vito 2019)—such as contacts between Indonesia and the Middle East—while allowing for in-depth contextual analysis of events. Simultaneously, this approach can shed light on global dynamics (Trivellato 2011), using biographies and circulation as “windows” into broader processes.</w:t>
      </w:r>
    </w:p>
    <w:p w14:paraId="00000010" w14:textId="77777777" w:rsidR="007B51DF" w:rsidRDefault="00017530">
      <w:pPr>
        <w:jc w:val="left"/>
        <w:rPr>
          <w:rFonts w:ascii="Roboto" w:eastAsia="Roboto" w:hAnsi="Roboto" w:cs="Roboto"/>
        </w:rPr>
      </w:pPr>
      <w:r>
        <w:rPr>
          <w:rFonts w:ascii="Roboto" w:eastAsia="Roboto" w:hAnsi="Roboto" w:cs="Roboto"/>
        </w:rPr>
        <w:t xml:space="preserve"> </w:t>
      </w:r>
    </w:p>
    <w:p w14:paraId="00000011" w14:textId="77777777" w:rsidR="007B51DF" w:rsidRDefault="007B51DF">
      <w:pPr>
        <w:rPr>
          <w:rFonts w:ascii="Roboto" w:eastAsia="Roboto" w:hAnsi="Roboto" w:cs="Roboto"/>
        </w:rPr>
      </w:pPr>
    </w:p>
    <w:p w14:paraId="00000012" w14:textId="77777777" w:rsidR="007B51DF" w:rsidRDefault="00017530">
      <w:pPr>
        <w:rPr>
          <w:rFonts w:ascii="Roboto" w:eastAsia="Roboto" w:hAnsi="Roboto" w:cs="Roboto"/>
          <w:b/>
        </w:rPr>
      </w:pPr>
      <w:r>
        <w:rPr>
          <w:rFonts w:ascii="Roboto" w:eastAsia="Roboto" w:hAnsi="Roboto" w:cs="Roboto"/>
          <w:b/>
        </w:rPr>
        <w:t>5) Single Session (the panel is open for two proposals, as one presentation will be given by the conveners)</w:t>
      </w:r>
    </w:p>
    <w:p w14:paraId="00000013" w14:textId="77777777" w:rsidR="007B51DF" w:rsidRDefault="007B51DF">
      <w:pPr>
        <w:rPr>
          <w:rFonts w:ascii="Roboto" w:eastAsia="Roboto" w:hAnsi="Roboto" w:cs="Roboto"/>
        </w:rPr>
      </w:pPr>
    </w:p>
    <w:p w14:paraId="00000014" w14:textId="77777777" w:rsidR="007B51DF" w:rsidRDefault="00017530">
      <w:pPr>
        <w:rPr>
          <w:rFonts w:ascii="Roboto" w:eastAsia="Roboto" w:hAnsi="Roboto" w:cs="Roboto"/>
          <w:highlight w:val="white"/>
        </w:rPr>
      </w:pPr>
      <w:r>
        <w:rPr>
          <w:rFonts w:ascii="Roboto" w:eastAsia="Roboto" w:hAnsi="Roboto" w:cs="Roboto"/>
          <w:b/>
        </w:rPr>
        <w:t xml:space="preserve">6) Discussant: </w:t>
      </w:r>
      <w:r>
        <w:rPr>
          <w:rFonts w:ascii="Roboto" w:eastAsia="Roboto" w:hAnsi="Roboto" w:cs="Roboto"/>
          <w:b/>
          <w:highlight w:val="white"/>
        </w:rPr>
        <w:t>Chiara Formichi/Farjrie Alatas/Geradi Yudhistira (t.b.a.)</w:t>
      </w:r>
    </w:p>
    <w:p w14:paraId="00000015" w14:textId="77777777" w:rsidR="007B51DF" w:rsidRDefault="007B51DF">
      <w:pPr>
        <w:rPr>
          <w:rFonts w:ascii="Roboto" w:eastAsia="Roboto" w:hAnsi="Roboto" w:cs="Roboto"/>
          <w:sz w:val="24"/>
          <w:szCs w:val="24"/>
        </w:rPr>
      </w:pPr>
    </w:p>
    <w:p w14:paraId="00000016" w14:textId="77777777" w:rsidR="007B51DF" w:rsidRDefault="007B51DF">
      <w:pPr>
        <w:rPr>
          <w:rFonts w:ascii="Roboto" w:eastAsia="Roboto" w:hAnsi="Roboto" w:cs="Roboto"/>
          <w:sz w:val="24"/>
          <w:szCs w:val="24"/>
        </w:rPr>
      </w:pPr>
    </w:p>
    <w:p w14:paraId="00000017" w14:textId="77777777" w:rsidR="007B51DF" w:rsidRDefault="00017530">
      <w:pPr>
        <w:rPr>
          <w:rFonts w:ascii="Roboto" w:eastAsia="Roboto" w:hAnsi="Roboto" w:cs="Roboto"/>
          <w:b/>
        </w:rPr>
      </w:pPr>
      <w:r>
        <w:rPr>
          <w:rFonts w:ascii="Roboto" w:eastAsia="Roboto" w:hAnsi="Roboto" w:cs="Roboto"/>
          <w:b/>
        </w:rPr>
        <w:t>Bibliography:</w:t>
      </w:r>
    </w:p>
    <w:p w14:paraId="00000018" w14:textId="77777777" w:rsidR="007B51DF" w:rsidRDefault="007B51DF">
      <w:pPr>
        <w:rPr>
          <w:rFonts w:ascii="Roboto" w:eastAsia="Roboto" w:hAnsi="Roboto" w:cs="Roboto"/>
        </w:rPr>
      </w:pPr>
    </w:p>
    <w:p w14:paraId="00000019" w14:textId="77777777" w:rsidR="007B51DF" w:rsidRDefault="00017530">
      <w:pPr>
        <w:rPr>
          <w:rFonts w:ascii="Roboto" w:eastAsia="Roboto" w:hAnsi="Roboto" w:cs="Roboto"/>
        </w:rPr>
      </w:pPr>
      <w:r>
        <w:rPr>
          <w:rFonts w:ascii="Roboto" w:eastAsia="Roboto" w:hAnsi="Roboto" w:cs="Roboto"/>
        </w:rPr>
        <w:t xml:space="preserve">Bradley, Francis R. (2014). “Islamic Reform, the Family, and Knowledge Networks Linking Mecca to Southeast Asia in the Nineteenth Century.” </w:t>
      </w:r>
      <w:r>
        <w:rPr>
          <w:rFonts w:ascii="Roboto" w:eastAsia="Roboto" w:hAnsi="Roboto" w:cs="Roboto"/>
          <w:i/>
        </w:rPr>
        <w:t>Journal of Asian Studies</w:t>
      </w:r>
      <w:r>
        <w:rPr>
          <w:rFonts w:ascii="Roboto" w:eastAsia="Roboto" w:hAnsi="Roboto" w:cs="Roboto"/>
        </w:rPr>
        <w:t xml:space="preserve"> 73, no. 1, pp. 89–111.</w:t>
      </w:r>
    </w:p>
    <w:p w14:paraId="0000001A" w14:textId="77777777" w:rsidR="007B51DF" w:rsidRDefault="007B51DF">
      <w:pPr>
        <w:rPr>
          <w:rFonts w:ascii="Roboto" w:eastAsia="Roboto" w:hAnsi="Roboto" w:cs="Roboto"/>
        </w:rPr>
      </w:pPr>
    </w:p>
    <w:p w14:paraId="0000001B" w14:textId="77777777" w:rsidR="007B51DF" w:rsidRDefault="00017530">
      <w:pPr>
        <w:rPr>
          <w:rFonts w:ascii="Roboto" w:eastAsia="Roboto" w:hAnsi="Roboto" w:cs="Roboto"/>
        </w:rPr>
      </w:pPr>
      <w:r>
        <w:rPr>
          <w:rFonts w:ascii="Roboto" w:eastAsia="Roboto" w:hAnsi="Roboto" w:cs="Roboto"/>
        </w:rPr>
        <w:t xml:space="preserve">De Vito, Christian G. (2019). “History Without Scale: The Micro-Spatial Perspective,” </w:t>
      </w:r>
      <w:r>
        <w:rPr>
          <w:rFonts w:ascii="Roboto" w:eastAsia="Roboto" w:hAnsi="Roboto" w:cs="Roboto"/>
          <w:i/>
        </w:rPr>
        <w:t>Past &amp; Present</w:t>
      </w:r>
      <w:r>
        <w:rPr>
          <w:rFonts w:ascii="Roboto" w:eastAsia="Roboto" w:hAnsi="Roboto" w:cs="Roboto"/>
        </w:rPr>
        <w:t xml:space="preserve"> 242, Supplement 14, pp. 348–372.</w:t>
      </w:r>
    </w:p>
    <w:p w14:paraId="0000001C" w14:textId="77777777" w:rsidR="007B51DF" w:rsidRDefault="007B51DF">
      <w:pPr>
        <w:rPr>
          <w:rFonts w:ascii="Roboto" w:eastAsia="Roboto" w:hAnsi="Roboto" w:cs="Roboto"/>
        </w:rPr>
      </w:pPr>
    </w:p>
    <w:p w14:paraId="0000001D" w14:textId="77777777" w:rsidR="007B51DF" w:rsidRDefault="00017530">
      <w:pPr>
        <w:rPr>
          <w:rFonts w:ascii="Roboto" w:eastAsia="Roboto" w:hAnsi="Roboto" w:cs="Roboto"/>
        </w:rPr>
      </w:pPr>
      <w:r>
        <w:rPr>
          <w:rFonts w:ascii="Roboto" w:eastAsia="Roboto" w:hAnsi="Roboto" w:cs="Roboto"/>
        </w:rPr>
        <w:t xml:space="preserve">Gamsa, Mark (2017). “Biography and (Global) Microhistory.” </w:t>
      </w:r>
      <w:r>
        <w:rPr>
          <w:rFonts w:ascii="Roboto" w:eastAsia="Roboto" w:hAnsi="Roboto" w:cs="Roboto"/>
          <w:i/>
        </w:rPr>
        <w:t>New Global Studies</w:t>
      </w:r>
      <w:r>
        <w:rPr>
          <w:rFonts w:ascii="Roboto" w:eastAsia="Roboto" w:hAnsi="Roboto" w:cs="Roboto"/>
        </w:rPr>
        <w:t>, Vol. 1, Issue 3, pp. 231–241.</w:t>
      </w:r>
    </w:p>
    <w:p w14:paraId="0000001E" w14:textId="77777777" w:rsidR="007B51DF" w:rsidRDefault="007B51DF">
      <w:pPr>
        <w:rPr>
          <w:rFonts w:ascii="Roboto" w:eastAsia="Roboto" w:hAnsi="Roboto" w:cs="Roboto"/>
        </w:rPr>
      </w:pPr>
    </w:p>
    <w:p w14:paraId="0000001F" w14:textId="77777777" w:rsidR="007B51DF" w:rsidRDefault="00017530">
      <w:pPr>
        <w:rPr>
          <w:rFonts w:ascii="Roboto" w:eastAsia="Roboto" w:hAnsi="Roboto" w:cs="Roboto"/>
        </w:rPr>
      </w:pPr>
      <w:r>
        <w:rPr>
          <w:rFonts w:ascii="Roboto" w:eastAsia="Roboto" w:hAnsi="Roboto" w:cs="Roboto"/>
        </w:rPr>
        <w:t xml:space="preserve">Ghobrial, John-Paul A. (2019). “Introduction: Seeing the World like a Microhistorian”. </w:t>
      </w:r>
      <w:r>
        <w:rPr>
          <w:rFonts w:ascii="Roboto" w:eastAsia="Roboto" w:hAnsi="Roboto" w:cs="Roboto"/>
          <w:i/>
        </w:rPr>
        <w:t>Past &amp; Present</w:t>
      </w:r>
      <w:r>
        <w:rPr>
          <w:rFonts w:ascii="Roboto" w:eastAsia="Roboto" w:hAnsi="Roboto" w:cs="Roboto"/>
        </w:rPr>
        <w:t>, Vol. 242, Is. Suppl. 14, pp. 1-22.</w:t>
      </w:r>
    </w:p>
    <w:p w14:paraId="00000020" w14:textId="77777777" w:rsidR="007B51DF" w:rsidRDefault="007B51DF">
      <w:pPr>
        <w:rPr>
          <w:rFonts w:ascii="Roboto" w:eastAsia="Roboto" w:hAnsi="Roboto" w:cs="Roboto"/>
        </w:rPr>
      </w:pPr>
    </w:p>
    <w:p w14:paraId="00000021" w14:textId="77777777" w:rsidR="007B51DF" w:rsidRDefault="00017530">
      <w:pPr>
        <w:rPr>
          <w:rFonts w:ascii="Roboto" w:eastAsia="Roboto" w:hAnsi="Roboto" w:cs="Roboto"/>
        </w:rPr>
      </w:pPr>
      <w:r>
        <w:rPr>
          <w:rFonts w:ascii="Roboto" w:eastAsia="Roboto" w:hAnsi="Roboto" w:cs="Roboto"/>
        </w:rPr>
        <w:t xml:space="preserve">Ho, Engseng (2006). </w:t>
      </w:r>
      <w:r>
        <w:rPr>
          <w:rFonts w:ascii="Roboto" w:eastAsia="Roboto" w:hAnsi="Roboto" w:cs="Roboto"/>
          <w:i/>
        </w:rPr>
        <w:t>The Graves of Tarim: Genealogy and Mobility across the Indian Ocean</w:t>
      </w:r>
      <w:r>
        <w:rPr>
          <w:rFonts w:ascii="Roboto" w:eastAsia="Roboto" w:hAnsi="Roboto" w:cs="Roboto"/>
        </w:rPr>
        <w:t>. Berkeley, Los Angeles, and London: University of California Press.</w:t>
      </w:r>
    </w:p>
    <w:p w14:paraId="00000022" w14:textId="77777777" w:rsidR="007B51DF" w:rsidRDefault="007B51DF">
      <w:pPr>
        <w:rPr>
          <w:rFonts w:ascii="Roboto" w:eastAsia="Roboto" w:hAnsi="Roboto" w:cs="Roboto"/>
        </w:rPr>
      </w:pPr>
    </w:p>
    <w:p w14:paraId="00000023" w14:textId="77777777" w:rsidR="007B51DF" w:rsidRDefault="00017530">
      <w:pPr>
        <w:rPr>
          <w:rFonts w:ascii="Roboto" w:eastAsia="Roboto" w:hAnsi="Roboto" w:cs="Roboto"/>
        </w:rPr>
      </w:pPr>
      <w:r>
        <w:rPr>
          <w:rFonts w:ascii="Roboto" w:eastAsia="Roboto" w:hAnsi="Roboto" w:cs="Roboto"/>
        </w:rPr>
        <w:t xml:space="preserve">Laffan, Michael (2011). </w:t>
      </w:r>
      <w:r>
        <w:rPr>
          <w:rFonts w:ascii="Roboto" w:eastAsia="Roboto" w:hAnsi="Roboto" w:cs="Roboto"/>
          <w:i/>
        </w:rPr>
        <w:t>The Makings of Indonesian Islam: Orientalism and the Narration of a Sufi Past</w:t>
      </w:r>
      <w:r>
        <w:rPr>
          <w:rFonts w:ascii="Roboto" w:eastAsia="Roboto" w:hAnsi="Roboto" w:cs="Roboto"/>
        </w:rPr>
        <w:t>. Princeton, NJ, and Oxford: Princeton University Press, 2011.</w:t>
      </w:r>
    </w:p>
    <w:p w14:paraId="00000024" w14:textId="77777777" w:rsidR="007B51DF" w:rsidRDefault="007B51DF">
      <w:pPr>
        <w:rPr>
          <w:rFonts w:ascii="Roboto" w:eastAsia="Roboto" w:hAnsi="Roboto" w:cs="Roboto"/>
        </w:rPr>
      </w:pPr>
    </w:p>
    <w:p w14:paraId="00000025" w14:textId="77777777" w:rsidR="007B51DF" w:rsidRDefault="00017530">
      <w:pPr>
        <w:rPr>
          <w:rFonts w:ascii="Roboto" w:eastAsia="Roboto" w:hAnsi="Roboto" w:cs="Roboto"/>
        </w:rPr>
      </w:pPr>
      <w:r>
        <w:rPr>
          <w:rFonts w:ascii="Roboto" w:eastAsia="Roboto" w:hAnsi="Roboto" w:cs="Roboto"/>
        </w:rPr>
        <w:t xml:space="preserve">Ricci, Ronit (2011). </w:t>
      </w:r>
      <w:r>
        <w:rPr>
          <w:rFonts w:ascii="Roboto" w:eastAsia="Roboto" w:hAnsi="Roboto" w:cs="Roboto"/>
          <w:i/>
        </w:rPr>
        <w:t>Islam Translated: Literature, Conversion, and the Arabic Cosmopolis of South and Southeast Asia</w:t>
      </w:r>
      <w:r>
        <w:rPr>
          <w:rFonts w:ascii="Roboto" w:eastAsia="Roboto" w:hAnsi="Roboto" w:cs="Roboto"/>
        </w:rPr>
        <w:t>. Chicago: University of Chicago Press.</w:t>
      </w:r>
    </w:p>
    <w:p w14:paraId="00000026" w14:textId="77777777" w:rsidR="007B51DF" w:rsidRDefault="007B51DF">
      <w:pPr>
        <w:rPr>
          <w:rFonts w:ascii="Roboto" w:eastAsia="Roboto" w:hAnsi="Roboto" w:cs="Roboto"/>
        </w:rPr>
      </w:pPr>
    </w:p>
    <w:p w14:paraId="00000027" w14:textId="77777777" w:rsidR="007B51DF" w:rsidRDefault="00017530">
      <w:pPr>
        <w:rPr>
          <w:rFonts w:ascii="Roboto" w:eastAsia="Roboto" w:hAnsi="Roboto" w:cs="Roboto"/>
        </w:rPr>
      </w:pPr>
      <w:r>
        <w:rPr>
          <w:rFonts w:ascii="Roboto" w:eastAsia="Roboto" w:hAnsi="Roboto" w:cs="Roboto"/>
        </w:rPr>
        <w:t xml:space="preserve">Sausa, Luigi &amp; Menghini, Pietro (Forthcoming), “The Roots of Political Shi’ism in Indonesia: Scholarly Networks between Iraq and Indonesia”, in Ghobrial, John-Paul A. &amp; Cooper-Davies, Christopher (Eds.). </w:t>
      </w:r>
      <w:r>
        <w:rPr>
          <w:rFonts w:ascii="Roboto" w:eastAsia="Roboto" w:hAnsi="Roboto" w:cs="Roboto"/>
          <w:i/>
          <w:highlight w:val="white"/>
        </w:rPr>
        <w:t>Global Shi`ism</w:t>
      </w:r>
      <w:r>
        <w:rPr>
          <w:rFonts w:ascii="Roboto" w:eastAsia="Roboto" w:hAnsi="Roboto" w:cs="Roboto"/>
          <w:highlight w:val="white"/>
        </w:rPr>
        <w:t xml:space="preserve">: </w:t>
      </w:r>
      <w:r>
        <w:rPr>
          <w:rFonts w:ascii="Roboto" w:eastAsia="Roboto" w:hAnsi="Roboto" w:cs="Roboto"/>
          <w:i/>
          <w:highlight w:val="white"/>
        </w:rPr>
        <w:t>Scholars, Migrants, and the Islamic Revival before 1979</w:t>
      </w:r>
      <w:r>
        <w:rPr>
          <w:rFonts w:ascii="Roboto" w:eastAsia="Roboto" w:hAnsi="Roboto" w:cs="Roboto"/>
          <w:highlight w:val="white"/>
        </w:rPr>
        <w:t>. Edinburgh University Press.</w:t>
      </w:r>
    </w:p>
    <w:p w14:paraId="00000028" w14:textId="77777777" w:rsidR="007B51DF" w:rsidRDefault="007B51DF">
      <w:pPr>
        <w:rPr>
          <w:rFonts w:ascii="Roboto" w:eastAsia="Roboto" w:hAnsi="Roboto" w:cs="Roboto"/>
        </w:rPr>
      </w:pPr>
    </w:p>
    <w:p w14:paraId="00000029" w14:textId="77777777" w:rsidR="007B51DF" w:rsidRDefault="00017530">
      <w:pPr>
        <w:rPr>
          <w:rFonts w:ascii="Roboto" w:eastAsia="Roboto" w:hAnsi="Roboto" w:cs="Roboto"/>
          <w:color w:val="1155CC"/>
          <w:u w:val="single"/>
        </w:rPr>
      </w:pPr>
      <w:r>
        <w:rPr>
          <w:rFonts w:ascii="Roboto" w:eastAsia="Roboto" w:hAnsi="Roboto" w:cs="Roboto"/>
        </w:rPr>
        <w:t xml:space="preserve">Tagliacozzo, Eric (2013). </w:t>
      </w:r>
      <w:r>
        <w:rPr>
          <w:rFonts w:ascii="Roboto" w:eastAsia="Roboto" w:hAnsi="Roboto" w:cs="Roboto"/>
          <w:i/>
        </w:rPr>
        <w:t>The Longest Journey: Southeast Asians and the Pilgrimage to Mecca</w:t>
      </w:r>
      <w:r>
        <w:rPr>
          <w:rFonts w:ascii="Roboto" w:eastAsia="Roboto" w:hAnsi="Roboto" w:cs="Roboto"/>
        </w:rPr>
        <w:t>. New York: Oxford University Press.</w:t>
      </w:r>
      <w:hyperlink r:id="rId7">
        <w:r>
          <w:rPr>
            <w:rFonts w:ascii="Roboto" w:eastAsia="Roboto" w:hAnsi="Roboto" w:cs="Roboto"/>
            <w:color w:val="1155CC"/>
            <w:u w:val="single"/>
          </w:rPr>
          <w:br/>
        </w:r>
      </w:hyperlink>
    </w:p>
    <w:p w14:paraId="0000002A" w14:textId="77777777" w:rsidR="007B51DF" w:rsidRDefault="00017530">
      <w:pPr>
        <w:rPr>
          <w:rFonts w:ascii="Roboto" w:eastAsia="Roboto" w:hAnsi="Roboto" w:cs="Roboto"/>
        </w:rPr>
      </w:pPr>
      <w:r>
        <w:rPr>
          <w:rFonts w:ascii="Roboto" w:eastAsia="Roboto" w:hAnsi="Roboto" w:cs="Roboto"/>
        </w:rPr>
        <w:t xml:space="preserve">Trivellato, Francesca (2011). “Is There a Future for Italian Microhistory in the Age of Global History?” </w:t>
      </w:r>
      <w:r>
        <w:rPr>
          <w:rFonts w:ascii="Roboto" w:eastAsia="Roboto" w:hAnsi="Roboto" w:cs="Roboto"/>
          <w:i/>
        </w:rPr>
        <w:t>California Italian Studies</w:t>
      </w:r>
      <w:r>
        <w:rPr>
          <w:rFonts w:ascii="Roboto" w:eastAsia="Roboto" w:hAnsi="Roboto" w:cs="Roboto"/>
        </w:rPr>
        <w:t xml:space="preserve"> 2, no. 1.</w:t>
      </w:r>
    </w:p>
    <w:p w14:paraId="0000002B" w14:textId="77777777" w:rsidR="007B51DF" w:rsidRDefault="007B51DF">
      <w:pPr>
        <w:rPr>
          <w:rFonts w:ascii="Roboto" w:eastAsia="Roboto" w:hAnsi="Roboto" w:cs="Roboto"/>
        </w:rPr>
      </w:pPr>
    </w:p>
    <w:p w14:paraId="0000002C" w14:textId="77777777" w:rsidR="007B51DF" w:rsidRDefault="00017530">
      <w:pPr>
        <w:rPr>
          <w:rFonts w:ascii="Roboto" w:eastAsia="Roboto" w:hAnsi="Roboto" w:cs="Roboto"/>
          <w:color w:val="7A7A7A"/>
          <w:sz w:val="24"/>
          <w:szCs w:val="24"/>
        </w:rPr>
      </w:pPr>
      <w:r>
        <w:rPr>
          <w:rFonts w:ascii="Roboto" w:eastAsia="Roboto" w:hAnsi="Roboto" w:cs="Roboto"/>
        </w:rPr>
        <w:t xml:space="preserve">Von der Mehden, Fred R. (1993). </w:t>
      </w:r>
      <w:r>
        <w:rPr>
          <w:rFonts w:ascii="Roboto" w:eastAsia="Roboto" w:hAnsi="Roboto" w:cs="Roboto"/>
          <w:i/>
        </w:rPr>
        <w:t>Two Worlds of Islam: Interaction between Southeast Asia and the Middle East</w:t>
      </w:r>
      <w:r>
        <w:rPr>
          <w:rFonts w:ascii="Roboto" w:eastAsia="Roboto" w:hAnsi="Roboto" w:cs="Roboto"/>
        </w:rPr>
        <w:t>. Gainesville: University Press of Florida.</w:t>
      </w:r>
    </w:p>
    <w:p w14:paraId="0000002D" w14:textId="77777777" w:rsidR="007B51DF" w:rsidRDefault="007B51DF">
      <w:pPr>
        <w:rPr>
          <w:rFonts w:ascii="Roboto" w:eastAsia="Roboto" w:hAnsi="Roboto" w:cs="Roboto"/>
          <w:sz w:val="24"/>
          <w:szCs w:val="24"/>
        </w:rPr>
      </w:pPr>
    </w:p>
    <w:p w14:paraId="0000002E" w14:textId="77777777" w:rsidR="007B51DF" w:rsidRDefault="007B51DF">
      <w:pPr>
        <w:spacing w:after="280"/>
        <w:jc w:val="left"/>
        <w:rPr>
          <w:sz w:val="24"/>
          <w:szCs w:val="24"/>
        </w:rPr>
      </w:pPr>
    </w:p>
    <w:sectPr w:rsidR="007B51DF">
      <w:footerReference w:type="even" r:id="rId8"/>
      <w:footerReference w:type="default" r:id="rId9"/>
      <w:footerReference w:type="first" r:id="rId1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9F13" w14:textId="77777777" w:rsidR="00017530" w:rsidRDefault="00017530" w:rsidP="00017530">
      <w:r>
        <w:separator/>
      </w:r>
    </w:p>
  </w:endnote>
  <w:endnote w:type="continuationSeparator" w:id="0">
    <w:p w14:paraId="52FED0B3" w14:textId="77777777" w:rsidR="00017530" w:rsidRDefault="00017530" w:rsidP="0001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embedRegular r:id="rId1" w:fontKey="{FF6914F9-42B5-4DC3-AA67-EFCC1F1C6F46}"/>
    <w:embedBold r:id="rId2" w:fontKey="{23FCE025-2C4E-4847-8043-A387530D8688}"/>
    <w:embedItalic r:id="rId3" w:fontKey="{D029F8ED-EEB0-437A-A9A9-39C28113A39D}"/>
  </w:font>
  <w:font w:name="Aptos">
    <w:charset w:val="00"/>
    <w:family w:val="swiss"/>
    <w:pitch w:val="variable"/>
    <w:sig w:usb0="20000287" w:usb1="00000003" w:usb2="00000000" w:usb3="00000000" w:csb0="0000019F" w:csb1="00000000"/>
    <w:embedRegular r:id="rId4" w:fontKey="{477E0ED5-F3F7-40D6-A6D6-41416E18310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EDBF" w14:textId="3CDE2894" w:rsidR="00017530" w:rsidRDefault="00017530">
    <w:pPr>
      <w:pStyle w:val="Footer"/>
    </w:pPr>
    <w:r>
      <w:rPr>
        <w:noProof/>
      </w:rPr>
      <mc:AlternateContent>
        <mc:Choice Requires="wps">
          <w:drawing>
            <wp:anchor distT="0" distB="0" distL="0" distR="0" simplePos="0" relativeHeight="251659264" behindDoc="0" locked="0" layoutInCell="1" allowOverlap="1" wp14:anchorId="31C780B2" wp14:editId="4CEB2230">
              <wp:simplePos x="635" y="635"/>
              <wp:positionH relativeFrom="page">
                <wp:align>left</wp:align>
              </wp:positionH>
              <wp:positionV relativeFrom="page">
                <wp:align>bottom</wp:align>
              </wp:positionV>
              <wp:extent cx="1817370" cy="345440"/>
              <wp:effectExtent l="0" t="0" r="11430" b="0"/>
              <wp:wrapNone/>
              <wp:docPr id="4228625"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47B2C947" w14:textId="30E07ED0" w:rsidR="00017530" w:rsidRPr="00017530" w:rsidRDefault="00017530" w:rsidP="00017530">
                          <w:pPr>
                            <w:rPr>
                              <w:rFonts w:ascii="Aptos" w:eastAsia="Aptos" w:hAnsi="Aptos" w:cs="Aptos"/>
                              <w:noProof/>
                              <w:color w:val="000000"/>
                              <w:sz w:val="20"/>
                              <w:szCs w:val="20"/>
                            </w:rPr>
                          </w:pPr>
                          <w:r w:rsidRPr="00017530">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C780B2" id="_x0000_t202" coordsize="21600,21600" o:spt="202" path="m,l,21600r21600,l21600,xe">
              <v:stroke joinstyle="miter"/>
              <v:path gradientshapeok="t" o:connecttype="rect"/>
            </v:shapetype>
            <v:shape id="Text Box 2" o:spid="_x0000_s1026" type="#_x0000_t202" alt="Classified as Internal | Intern" style="position:absolute;left:0;text-align:left;margin-left:0;margin-top:0;width:143.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" filled="f" stroked="f">
              <v:fill o:detectmouseclick="t"/>
              <v:textbox style="mso-fit-shape-to-text:t" inset="20pt,0,0,15pt">
                <w:txbxContent>
                  <w:p w14:paraId="47B2C947" w14:textId="30E07ED0" w:rsidR="00017530" w:rsidRPr="00017530" w:rsidRDefault="00017530" w:rsidP="00017530">
                    <w:pPr>
                      <w:rPr>
                        <w:rFonts w:ascii="Aptos" w:eastAsia="Aptos" w:hAnsi="Aptos" w:cs="Aptos"/>
                        <w:noProof/>
                        <w:color w:val="000000"/>
                        <w:sz w:val="20"/>
                        <w:szCs w:val="20"/>
                      </w:rPr>
                    </w:pPr>
                    <w:r w:rsidRPr="00017530">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0B13" w14:textId="474B945C" w:rsidR="00017530" w:rsidRDefault="00017530">
    <w:pPr>
      <w:pStyle w:val="Footer"/>
    </w:pPr>
    <w:r>
      <w:rPr>
        <w:noProof/>
      </w:rPr>
      <mc:AlternateContent>
        <mc:Choice Requires="wps">
          <w:drawing>
            <wp:anchor distT="0" distB="0" distL="0" distR="0" simplePos="0" relativeHeight="251660288" behindDoc="0" locked="0" layoutInCell="1" allowOverlap="1" wp14:anchorId="39876577" wp14:editId="07753660">
              <wp:simplePos x="723900" y="10081260"/>
              <wp:positionH relativeFrom="page">
                <wp:align>left</wp:align>
              </wp:positionH>
              <wp:positionV relativeFrom="page">
                <wp:align>bottom</wp:align>
              </wp:positionV>
              <wp:extent cx="1817370" cy="345440"/>
              <wp:effectExtent l="0" t="0" r="11430" b="0"/>
              <wp:wrapNone/>
              <wp:docPr id="609103008"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2F90130B" w14:textId="4537608B" w:rsidR="00017530" w:rsidRPr="00017530" w:rsidRDefault="00017530" w:rsidP="00017530">
                          <w:pPr>
                            <w:rPr>
                              <w:rFonts w:ascii="Aptos" w:eastAsia="Aptos" w:hAnsi="Aptos" w:cs="Aptos"/>
                              <w:noProof/>
                              <w:color w:val="000000"/>
                              <w:sz w:val="20"/>
                              <w:szCs w:val="20"/>
                            </w:rPr>
                          </w:pPr>
                          <w:r w:rsidRPr="00017530">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876577" id="_x0000_t202" coordsize="21600,21600" o:spt="202" path="m,l,21600r21600,l21600,xe">
              <v:stroke joinstyle="miter"/>
              <v:path gradientshapeok="t" o:connecttype="rect"/>
            </v:shapetype>
            <v:shape id="Text Box 3" o:spid="_x0000_s1027" type="#_x0000_t202" alt="Classified as Internal | Intern" style="position:absolute;left:0;text-align:left;margin-left:0;margin-top:0;width:143.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" filled="f" stroked="f">
              <v:fill o:detectmouseclick="t"/>
              <v:textbox style="mso-fit-shape-to-text:t" inset="20pt,0,0,15pt">
                <w:txbxContent>
                  <w:p w14:paraId="2F90130B" w14:textId="4537608B" w:rsidR="00017530" w:rsidRPr="00017530" w:rsidRDefault="00017530" w:rsidP="00017530">
                    <w:pPr>
                      <w:rPr>
                        <w:rFonts w:ascii="Aptos" w:eastAsia="Aptos" w:hAnsi="Aptos" w:cs="Aptos"/>
                        <w:noProof/>
                        <w:color w:val="000000"/>
                        <w:sz w:val="20"/>
                        <w:szCs w:val="20"/>
                      </w:rPr>
                    </w:pPr>
                    <w:r w:rsidRPr="00017530">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AB5F" w14:textId="0F8C8632" w:rsidR="00017530" w:rsidRDefault="00017530">
    <w:pPr>
      <w:pStyle w:val="Footer"/>
    </w:pPr>
    <w:r>
      <w:rPr>
        <w:noProof/>
      </w:rPr>
      <mc:AlternateContent>
        <mc:Choice Requires="wps">
          <w:drawing>
            <wp:anchor distT="0" distB="0" distL="0" distR="0" simplePos="0" relativeHeight="251658240" behindDoc="0" locked="0" layoutInCell="1" allowOverlap="1" wp14:anchorId="1D04F3CC" wp14:editId="1A4037C2">
              <wp:simplePos x="635" y="635"/>
              <wp:positionH relativeFrom="page">
                <wp:align>left</wp:align>
              </wp:positionH>
              <wp:positionV relativeFrom="page">
                <wp:align>bottom</wp:align>
              </wp:positionV>
              <wp:extent cx="1817370" cy="345440"/>
              <wp:effectExtent l="0" t="0" r="11430" b="0"/>
              <wp:wrapNone/>
              <wp:docPr id="1525830664"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315A0059" w14:textId="64CC2DD9" w:rsidR="00017530" w:rsidRPr="00017530" w:rsidRDefault="00017530" w:rsidP="00017530">
                          <w:pPr>
                            <w:rPr>
                              <w:rFonts w:ascii="Aptos" w:eastAsia="Aptos" w:hAnsi="Aptos" w:cs="Aptos"/>
                              <w:noProof/>
                              <w:color w:val="000000"/>
                              <w:sz w:val="20"/>
                              <w:szCs w:val="20"/>
                            </w:rPr>
                          </w:pPr>
                          <w:r w:rsidRPr="00017530">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04F3CC" id="_x0000_t202" coordsize="21600,21600" o:spt="202" path="m,l,21600r21600,l21600,xe">
              <v:stroke joinstyle="miter"/>
              <v:path gradientshapeok="t" o:connecttype="rect"/>
            </v:shapetype>
            <v:shape id="Text Box 1" o:spid="_x0000_s1028" type="#_x0000_t202" alt="Classified as Internal | Intern" style="position:absolute;left:0;text-align:left;margin-left:0;margin-top:0;width:143.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" filled="f" stroked="f">
              <v:fill o:detectmouseclick="t"/>
              <v:textbox style="mso-fit-shape-to-text:t" inset="20pt,0,0,15pt">
                <w:txbxContent>
                  <w:p w14:paraId="315A0059" w14:textId="64CC2DD9" w:rsidR="00017530" w:rsidRPr="00017530" w:rsidRDefault="00017530" w:rsidP="00017530">
                    <w:pPr>
                      <w:rPr>
                        <w:rFonts w:ascii="Aptos" w:eastAsia="Aptos" w:hAnsi="Aptos" w:cs="Aptos"/>
                        <w:noProof/>
                        <w:color w:val="000000"/>
                        <w:sz w:val="20"/>
                        <w:szCs w:val="20"/>
                      </w:rPr>
                    </w:pPr>
                    <w:r w:rsidRPr="00017530">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E536" w14:textId="77777777" w:rsidR="00017530" w:rsidRDefault="00017530" w:rsidP="00017530">
      <w:r>
        <w:separator/>
      </w:r>
    </w:p>
  </w:footnote>
  <w:footnote w:type="continuationSeparator" w:id="0">
    <w:p w14:paraId="293A4553" w14:textId="77777777" w:rsidR="00017530" w:rsidRDefault="00017530" w:rsidP="00017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DF"/>
    <w:rsid w:val="00017530"/>
    <w:rsid w:val="007B51DF"/>
    <w:rsid w:val="00B0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706C9-65EF-43C8-93B7-96DF9317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link w:val="Heading7Char"/>
    <w:uiPriority w:val="9"/>
    <w:semiHidden/>
    <w:unhideWhenUsed/>
    <w:qFormat/>
    <w:rsid w:val="00EB5A97"/>
    <w:pPr>
      <w:keepNext/>
      <w:keepLines/>
      <w:spacing w:before="40"/>
      <w:outlineLvl w:val="6"/>
    </w:pPr>
    <w:rPr>
      <w:rFonts w:eastAsiaTheme="majorEastAsia" w:cstheme="majorBidi"/>
      <w:color w:val="595959" w:themeColor="text1" w:themeTint="A6"/>
    </w:rPr>
  </w:style>
  <w:style w:type="paragraph" w:styleId="Heading8">
    <w:name w:val="heading 8"/>
    <w:link w:val="Heading8Char"/>
    <w:uiPriority w:val="9"/>
    <w:semiHidden/>
    <w:unhideWhenUsed/>
    <w:qFormat/>
    <w:rsid w:val="00EB5A97"/>
    <w:pPr>
      <w:keepNext/>
      <w:keepLines/>
      <w:outlineLvl w:val="7"/>
    </w:pPr>
    <w:rPr>
      <w:rFonts w:eastAsiaTheme="majorEastAsia" w:cstheme="majorBidi"/>
      <w:i/>
      <w:iCs/>
      <w:color w:val="272727" w:themeColor="text1" w:themeTint="D8"/>
    </w:rPr>
  </w:style>
  <w:style w:type="paragraph" w:styleId="Heading9">
    <w:name w:val="heading 9"/>
    <w:link w:val="Heading9Char"/>
    <w:uiPriority w:val="9"/>
    <w:semiHidden/>
    <w:unhideWhenUsed/>
    <w:qFormat/>
    <w:rsid w:val="00EB5A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pPr>
    <w:rPr>
      <w:sz w:val="56"/>
      <w:szCs w:val="56"/>
    </w:rPr>
  </w:style>
  <w:style w:type="character" w:customStyle="1" w:styleId="Titolo1Carattere">
    <w:name w:val="Titolo 1 Carattere"/>
    <w:basedOn w:val="DefaultParagraphFont"/>
    <w:uiPriority w:val="9"/>
    <w:rsid w:val="00EB5A97"/>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DefaultParagraphFont"/>
    <w:uiPriority w:val="9"/>
    <w:semiHidden/>
    <w:rsid w:val="00EB5A97"/>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DefaultParagraphFont"/>
    <w:uiPriority w:val="9"/>
    <w:semiHidden/>
    <w:rsid w:val="00EB5A97"/>
    <w:rPr>
      <w:rFonts w:eastAsiaTheme="majorEastAsia" w:cstheme="majorBidi"/>
      <w:color w:val="0F4761" w:themeColor="accent1" w:themeShade="BF"/>
      <w:sz w:val="28"/>
      <w:szCs w:val="28"/>
      <w:lang w:val="en-GB"/>
    </w:rPr>
  </w:style>
  <w:style w:type="character" w:customStyle="1" w:styleId="Titolo4Carattere">
    <w:name w:val="Titolo 4 Carattere"/>
    <w:basedOn w:val="DefaultParagraphFont"/>
    <w:uiPriority w:val="9"/>
    <w:semiHidden/>
    <w:rsid w:val="00EB5A97"/>
    <w:rPr>
      <w:rFonts w:eastAsiaTheme="majorEastAsia" w:cstheme="majorBidi"/>
      <w:i/>
      <w:iCs/>
      <w:color w:val="0F4761" w:themeColor="accent1" w:themeShade="BF"/>
      <w:lang w:val="en-GB"/>
    </w:rPr>
  </w:style>
  <w:style w:type="character" w:customStyle="1" w:styleId="Titolo5Carattere">
    <w:name w:val="Titolo 5 Carattere"/>
    <w:basedOn w:val="DefaultParagraphFont"/>
    <w:uiPriority w:val="9"/>
    <w:semiHidden/>
    <w:rsid w:val="00EB5A97"/>
    <w:rPr>
      <w:rFonts w:eastAsiaTheme="majorEastAsia" w:cstheme="majorBidi"/>
      <w:color w:val="0F4761" w:themeColor="accent1" w:themeShade="BF"/>
      <w:lang w:val="en-GB"/>
    </w:rPr>
  </w:style>
  <w:style w:type="character" w:customStyle="1" w:styleId="Titolo6Carattere">
    <w:name w:val="Titolo 6 Carattere"/>
    <w:basedOn w:val="DefaultParagraphFont"/>
    <w:uiPriority w:val="9"/>
    <w:semiHidden/>
    <w:rsid w:val="00EB5A9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B5A9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B5A9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B5A97"/>
    <w:rPr>
      <w:rFonts w:eastAsiaTheme="majorEastAsia" w:cstheme="majorBidi"/>
      <w:color w:val="272727" w:themeColor="text1" w:themeTint="D8"/>
      <w:lang w:val="en-GB"/>
    </w:rPr>
  </w:style>
  <w:style w:type="character" w:customStyle="1" w:styleId="TitoloCarattere">
    <w:name w:val="Titolo Carattere"/>
    <w:basedOn w:val="DefaultParagraphFont"/>
    <w:uiPriority w:val="10"/>
    <w:rsid w:val="00EB5A97"/>
    <w:rPr>
      <w:rFonts w:asciiTheme="majorHAnsi" w:eastAsiaTheme="majorEastAsia" w:hAnsiTheme="majorHAnsi" w:cstheme="majorBidi"/>
      <w:spacing w:val="-10"/>
      <w:kern w:val="28"/>
      <w:sz w:val="56"/>
      <w:szCs w:val="56"/>
      <w:lang w:val="en-GB"/>
    </w:rPr>
  </w:style>
  <w:style w:type="character" w:customStyle="1" w:styleId="SottotitoloCarattere">
    <w:name w:val="Sottotitolo Carattere"/>
    <w:basedOn w:val="DefaultParagraphFont"/>
    <w:uiPriority w:val="11"/>
    <w:rsid w:val="00EB5A97"/>
    <w:rPr>
      <w:rFonts w:eastAsiaTheme="majorEastAsia" w:cstheme="majorBidi"/>
      <w:color w:val="595959" w:themeColor="text1" w:themeTint="A6"/>
      <w:spacing w:val="15"/>
      <w:sz w:val="28"/>
      <w:szCs w:val="28"/>
      <w:lang w:val="en-GB"/>
    </w:rPr>
  </w:style>
  <w:style w:type="paragraph" w:styleId="Quote">
    <w:name w:val="Quote"/>
    <w:link w:val="QuoteChar"/>
    <w:uiPriority w:val="29"/>
    <w:qFormat/>
    <w:rsid w:val="00EB5A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5A97"/>
    <w:rPr>
      <w:i/>
      <w:iCs/>
      <w:color w:val="404040" w:themeColor="text1" w:themeTint="BF"/>
      <w:lang w:val="en-GB"/>
    </w:rPr>
  </w:style>
  <w:style w:type="paragraph" w:styleId="ListParagraph">
    <w:name w:val="List Paragraph"/>
    <w:uiPriority w:val="34"/>
    <w:qFormat/>
    <w:rsid w:val="00EB5A97"/>
    <w:pPr>
      <w:ind w:left="720"/>
      <w:contextualSpacing/>
    </w:pPr>
  </w:style>
  <w:style w:type="character" w:styleId="IntenseEmphasis">
    <w:name w:val="Intense Emphasis"/>
    <w:basedOn w:val="DefaultParagraphFont"/>
    <w:uiPriority w:val="21"/>
    <w:qFormat/>
    <w:rsid w:val="00EB5A97"/>
    <w:rPr>
      <w:i/>
      <w:iCs/>
      <w:color w:val="0F4761" w:themeColor="accent1" w:themeShade="BF"/>
    </w:rPr>
  </w:style>
  <w:style w:type="paragraph" w:styleId="IntenseQuote">
    <w:name w:val="Intense Quote"/>
    <w:link w:val="IntenseQuoteChar"/>
    <w:uiPriority w:val="30"/>
    <w:qFormat/>
    <w:rsid w:val="00EB5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A97"/>
    <w:rPr>
      <w:i/>
      <w:iCs/>
      <w:color w:val="0F4761" w:themeColor="accent1" w:themeShade="BF"/>
      <w:lang w:val="en-GB"/>
    </w:rPr>
  </w:style>
  <w:style w:type="character" w:styleId="IntenseReference">
    <w:name w:val="Intense Reference"/>
    <w:basedOn w:val="DefaultParagraphFont"/>
    <w:uiPriority w:val="32"/>
    <w:qFormat/>
    <w:rsid w:val="00EB5A97"/>
    <w:rPr>
      <w:b/>
      <w:bCs/>
      <w:smallCaps/>
      <w:color w:val="0F4761" w:themeColor="accent1" w:themeShade="BF"/>
      <w:spacing w:val="5"/>
    </w:rPr>
  </w:style>
  <w:style w:type="character" w:styleId="Strong">
    <w:name w:val="Strong"/>
    <w:basedOn w:val="DefaultParagraphFont"/>
    <w:uiPriority w:val="22"/>
    <w:qFormat/>
    <w:rsid w:val="00EB5A97"/>
    <w:rPr>
      <w:b/>
      <w:bCs/>
    </w:rPr>
  </w:style>
  <w:style w:type="paragraph" w:styleId="Subtitle">
    <w:name w:val="Subtitle"/>
    <w:basedOn w:val="Normal"/>
    <w:next w:val="Normal"/>
    <w:uiPriority w:val="11"/>
    <w:qFormat/>
    <w:pPr>
      <w:spacing w:after="160"/>
    </w:pPr>
    <w:rPr>
      <w:color w:val="595959"/>
      <w:sz w:val="28"/>
      <w:szCs w:val="28"/>
    </w:rPr>
  </w:style>
  <w:style w:type="paragraph" w:styleId="Footer">
    <w:name w:val="footer"/>
    <w:basedOn w:val="Normal"/>
    <w:link w:val="FooterChar"/>
    <w:uiPriority w:val="99"/>
    <w:unhideWhenUsed/>
    <w:rsid w:val="00017530"/>
    <w:pPr>
      <w:tabs>
        <w:tab w:val="center" w:pos="4680"/>
        <w:tab w:val="right" w:pos="9360"/>
      </w:tabs>
    </w:pPr>
  </w:style>
  <w:style w:type="character" w:customStyle="1" w:styleId="FooterChar">
    <w:name w:val="Footer Char"/>
    <w:basedOn w:val="DefaultParagraphFont"/>
    <w:link w:val="Footer"/>
    <w:uiPriority w:val="99"/>
    <w:rsid w:val="0001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lobal.oup.com/academic/product/the-longest-journey-9780195308273?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ersonalizzat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fwGqszsZhC2IpFWcC+zdjAKt5Q==">CgMxLjA4AHIhMWZMVjJQNHJvdlZPZkdma3czZVB0eWpJLWplS0o2NUhL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4677</Characters>
  <Application>Microsoft Office Word</Application>
  <DocSecurity>4</DocSecurity>
  <Lines>38</Lines>
  <Paragraphs>10</Paragraphs>
  <ScaleCrop>false</ScaleCrop>
  <Company>Universiteit Leiden - ISSC</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Maydan</dc:creator>
  <cp:lastModifiedBy>Siegers, S.R. (Yayah)</cp:lastModifiedBy>
  <cp:revision>2</cp:revision>
  <dcterms:created xsi:type="dcterms:W3CDTF">2025-12-03T01:18:00Z</dcterms:created>
  <dcterms:modified xsi:type="dcterms:W3CDTF">2025-12-03T01:18:00Z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3fe46064-251f-4b26-a54a-2c14e3524847</vt:lpwstr>
  </property>
  <property fmtid="{D5CDD505-2E9C-101B-9397-08002B2CF9AE}" pid="3" name="MSIP_Label_2ad0b24d-6422-44b0-b3de-abb3a9e8c81a_Enabled">
    <vt:lpwstr>true</vt:lpwstr>
  </property>
  <property fmtid="{D5CDD505-2E9C-101B-9397-08002B2CF9AE}" pid="4" name="MSIP_Label_2ad0b24d-6422-44b0-b3de-abb3a9e8c81a_SetDate">
    <vt:lpwstr>2025-11-04T16:12:08Z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5d358134-0d49-4928-84eb-2261655a9d15</vt:lpwstr>
  </property>
  <property fmtid="{D5CDD505-2E9C-101B-9397-08002B2CF9AE}" pid="9" name="MSIP_Label_2ad0b24d-6422-44b0-b3de-abb3a9e8c81a_ContentBits">
    <vt:lpwstr>0</vt:lpwstr>
  </property>
  <property fmtid="{D5CDD505-2E9C-101B-9397-08002B2CF9AE}" pid="10" name="MSIP_Label_2ad0b24d-6422-44b0-b3de-abb3a9e8c81a_Tag">
    <vt:lpwstr>10, 3, 0, 1</vt:lpwstr>
  </property>
  <property fmtid="{D5CDD505-2E9C-101B-9397-08002B2CF9AE}" pid="11" name="ClassificationContentMarkingFooterShapeIds">
    <vt:lpwstr>5af25408,408611,244e2ca0</vt:lpwstr>
  </property>
  <property fmtid="{D5CDD505-2E9C-101B-9397-08002B2CF9AE}" pid="12" name="ClassificationContentMarkingFooterFontProps">
    <vt:lpwstr>#000000,10,Aptos</vt:lpwstr>
  </property>
  <property fmtid="{D5CDD505-2E9C-101B-9397-08002B2CF9AE}" pid="13" name="ClassificationContentMarkingFooterText">
    <vt:lpwstr>Classified as Internal | Intern</vt:lpwstr>
  </property>
</Properties>
</file>