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592B4" w14:textId="77777777" w:rsidR="00316B02" w:rsidRDefault="00000000">
      <w:pPr>
        <w:spacing w:after="0" w:line="240" w:lineRule="auto"/>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rPr>
        <w:t xml:space="preserve">Panel Proposal </w:t>
      </w:r>
      <w:proofErr w:type="spellStart"/>
      <w:r>
        <w:rPr>
          <w:rFonts w:ascii="Times New Roman" w:eastAsia="Times New Roman" w:hAnsi="Times New Roman" w:cs="Times New Roman"/>
          <w:b/>
          <w:bCs/>
          <w:color w:val="000000"/>
        </w:rPr>
        <w:t>EuroSEAS</w:t>
      </w:r>
      <w:proofErr w:type="spellEnd"/>
      <w:r>
        <w:rPr>
          <w:rFonts w:ascii="Times New Roman" w:eastAsia="Times New Roman" w:hAnsi="Times New Roman" w:cs="Times New Roman"/>
          <w:b/>
          <w:bCs/>
          <w:color w:val="000000"/>
        </w:rPr>
        <w:t xml:space="preserve"> 2026</w:t>
      </w:r>
    </w:p>
    <w:p w14:paraId="4B69F129" w14:textId="77777777" w:rsidR="00316B02" w:rsidRDefault="00316B02">
      <w:pPr>
        <w:spacing w:after="0" w:line="240" w:lineRule="auto"/>
        <w:jc w:val="both"/>
        <w:rPr>
          <w:rFonts w:ascii="Times New Roman" w:eastAsia="Times New Roman" w:hAnsi="Times New Roman" w:cs="Times New Roman"/>
          <w:b/>
          <w:bCs/>
          <w:color w:val="000000"/>
        </w:rPr>
      </w:pPr>
    </w:p>
    <w:p w14:paraId="3A558FC8" w14:textId="77777777" w:rsidR="00316B02" w:rsidRDefault="00000000">
      <w:pPr>
        <w:spacing w:after="0" w:line="240" w:lineRule="auto"/>
        <w:jc w:val="both"/>
        <w:rPr>
          <w:rFonts w:ascii="Times New Roman" w:eastAsia="Times New Roman" w:hAnsi="Times New Roman" w:cs="Times New Roman"/>
        </w:rPr>
      </w:pPr>
      <w:r>
        <w:rPr>
          <w:rFonts w:ascii="Times New Roman" w:eastAsia="Times New Roman" w:hAnsi="Times New Roman" w:cs="Times New Roman"/>
          <w:b/>
          <w:bCs/>
          <w:color w:val="000000"/>
        </w:rPr>
        <w:t xml:space="preserve">Title: </w:t>
      </w:r>
      <w:proofErr w:type="spellStart"/>
      <w:r>
        <w:rPr>
          <w:rFonts w:ascii="Times New Roman" w:eastAsia="Times New Roman" w:hAnsi="Times New Roman" w:cs="Times New Roman"/>
        </w:rPr>
        <w:t>Everyday</w:t>
      </w:r>
      <w:proofErr w:type="spellEnd"/>
      <w:r>
        <w:rPr>
          <w:rFonts w:ascii="Times New Roman" w:eastAsia="Times New Roman" w:hAnsi="Times New Roman" w:cs="Times New Roman"/>
        </w:rPr>
        <w:t xml:space="preserve"> in the </w:t>
      </w:r>
      <w:r>
        <w:rPr>
          <w:rFonts w:ascii="Times New Roman" w:eastAsia="Times New Roman" w:hAnsi="Times New Roman" w:cs="Times New Roman"/>
          <w:color w:val="000000"/>
        </w:rPr>
        <w:t xml:space="preserve">Empire: Health, Diplomacy, Food, and </w:t>
      </w:r>
      <w:r>
        <w:rPr>
          <w:rFonts w:ascii="Times New Roman" w:eastAsia="Times New Roman" w:hAnsi="Times New Roman" w:cs="Times New Roman"/>
        </w:rPr>
        <w:t xml:space="preserve">Forestry </w:t>
      </w:r>
      <w:r>
        <w:rPr>
          <w:rFonts w:ascii="Times New Roman" w:eastAsia="Times New Roman" w:hAnsi="Times New Roman" w:cs="Times New Roman"/>
          <w:color w:val="000000"/>
        </w:rPr>
        <w:t>in Colonial Philippines and Indonesia</w:t>
      </w:r>
    </w:p>
    <w:p w14:paraId="7F79B5FB" w14:textId="77777777" w:rsidR="00316B02" w:rsidRDefault="00316B02">
      <w:pPr>
        <w:spacing w:after="0" w:line="240" w:lineRule="auto"/>
        <w:jc w:val="both"/>
        <w:rPr>
          <w:rFonts w:ascii="Times New Roman" w:eastAsia="Times New Roman" w:hAnsi="Times New Roman" w:cs="Times New Roman"/>
          <w:b/>
          <w:bCs/>
          <w:color w:val="000000"/>
        </w:rPr>
      </w:pPr>
    </w:p>
    <w:p w14:paraId="7B476593" w14:textId="77777777" w:rsidR="00316B02" w:rsidRPr="005D180D" w:rsidRDefault="00000000">
      <w:pPr>
        <w:spacing w:after="0" w:line="240" w:lineRule="auto"/>
        <w:jc w:val="both"/>
        <w:rPr>
          <w:rFonts w:ascii="Times New Roman" w:eastAsia="Times New Roman" w:hAnsi="Times New Roman" w:cs="Times New Roman"/>
          <w:color w:val="000000"/>
          <w:lang w:val="it-IT"/>
        </w:rPr>
      </w:pPr>
      <w:proofErr w:type="spellStart"/>
      <w:r w:rsidRPr="005D180D">
        <w:rPr>
          <w:rFonts w:ascii="Times New Roman" w:eastAsia="Times New Roman" w:hAnsi="Times New Roman" w:cs="Times New Roman"/>
          <w:b/>
          <w:bCs/>
          <w:color w:val="000000"/>
          <w:lang w:val="it-IT"/>
        </w:rPr>
        <w:t>Convenor</w:t>
      </w:r>
      <w:proofErr w:type="spellEnd"/>
      <w:r w:rsidRPr="005D180D">
        <w:rPr>
          <w:rFonts w:ascii="Times New Roman" w:eastAsia="Times New Roman" w:hAnsi="Times New Roman" w:cs="Times New Roman"/>
          <w:b/>
          <w:bCs/>
          <w:color w:val="000000"/>
          <w:lang w:val="it-IT"/>
        </w:rPr>
        <w:t xml:space="preserve">: </w:t>
      </w:r>
      <w:r w:rsidRPr="005D180D">
        <w:rPr>
          <w:rFonts w:ascii="Times New Roman" w:eastAsia="Times New Roman" w:hAnsi="Times New Roman" w:cs="Times New Roman"/>
          <w:color w:val="000000"/>
          <w:lang w:val="it-IT"/>
        </w:rPr>
        <w:t xml:space="preserve">Bianca Angelien A. Claveria, MA, Leiden University </w:t>
      </w:r>
    </w:p>
    <w:p w14:paraId="7D10C14B" w14:textId="77777777" w:rsidR="00316B02" w:rsidRPr="005D180D" w:rsidRDefault="00316B02">
      <w:pPr>
        <w:spacing w:after="0" w:line="240" w:lineRule="auto"/>
        <w:jc w:val="both"/>
        <w:rPr>
          <w:rFonts w:ascii="Times New Roman" w:eastAsia="Times New Roman" w:hAnsi="Times New Roman" w:cs="Times New Roman"/>
          <w:b/>
          <w:bCs/>
          <w:color w:val="000000"/>
          <w:lang w:val="it-IT"/>
        </w:rPr>
      </w:pPr>
    </w:p>
    <w:p w14:paraId="06D4550F" w14:textId="77777777" w:rsidR="00316B02" w:rsidRPr="005D180D" w:rsidRDefault="00000000">
      <w:pPr>
        <w:spacing w:after="0" w:line="240" w:lineRule="auto"/>
        <w:jc w:val="both"/>
        <w:rPr>
          <w:rFonts w:ascii="Times New Roman" w:eastAsia="Times New Roman" w:hAnsi="Times New Roman" w:cs="Times New Roman"/>
          <w:b/>
          <w:bCs/>
          <w:color w:val="000000"/>
          <w:lang w:val="it-IT"/>
        </w:rPr>
      </w:pPr>
      <w:r w:rsidRPr="005D180D">
        <w:rPr>
          <w:rFonts w:ascii="Times New Roman" w:eastAsia="Times New Roman" w:hAnsi="Times New Roman" w:cs="Times New Roman"/>
          <w:b/>
          <w:bCs/>
          <w:color w:val="000000"/>
          <w:lang w:val="it-IT"/>
        </w:rPr>
        <w:t>Single Session:</w:t>
      </w:r>
    </w:p>
    <w:p w14:paraId="1ACFC8D7" w14:textId="77777777" w:rsidR="00316B02" w:rsidRPr="005D180D" w:rsidRDefault="00316B02">
      <w:pPr>
        <w:spacing w:after="0" w:line="240" w:lineRule="auto"/>
        <w:jc w:val="both"/>
        <w:rPr>
          <w:rFonts w:ascii="Times New Roman" w:eastAsia="Times New Roman" w:hAnsi="Times New Roman" w:cs="Times New Roman"/>
          <w:color w:val="000000"/>
          <w:lang w:val="it-IT"/>
        </w:rPr>
      </w:pPr>
    </w:p>
    <w:p w14:paraId="30588FE9" w14:textId="77777777" w:rsidR="00316B02" w:rsidRPr="005D180D" w:rsidRDefault="00000000">
      <w:pPr>
        <w:spacing w:after="0" w:line="240" w:lineRule="auto"/>
        <w:jc w:val="both"/>
        <w:rPr>
          <w:rFonts w:ascii="Times New Roman" w:eastAsia="Times New Roman" w:hAnsi="Times New Roman" w:cs="Times New Roman"/>
          <w:color w:val="000000"/>
          <w:lang w:val="it-IT"/>
        </w:rPr>
      </w:pPr>
      <w:r w:rsidRPr="005D180D">
        <w:rPr>
          <w:rFonts w:ascii="Times New Roman" w:eastAsia="Times New Roman" w:hAnsi="Times New Roman" w:cs="Times New Roman"/>
          <w:color w:val="000000"/>
          <w:lang w:val="it-IT"/>
        </w:rPr>
        <w:t>Bianca Angelien A. Claveria, MA, Leiden University</w:t>
      </w:r>
    </w:p>
    <w:p w14:paraId="5095B323" w14:textId="77777777" w:rsidR="00316B02" w:rsidRPr="005D180D" w:rsidRDefault="00316B02">
      <w:pPr>
        <w:spacing w:after="0" w:line="240" w:lineRule="auto"/>
        <w:jc w:val="both"/>
        <w:rPr>
          <w:rFonts w:ascii="Times New Roman" w:eastAsia="Times New Roman" w:hAnsi="Times New Roman" w:cs="Times New Roman"/>
          <w:color w:val="000000"/>
          <w:lang w:val="it-IT"/>
        </w:rPr>
      </w:pPr>
    </w:p>
    <w:p w14:paraId="1A062939" w14:textId="77777777" w:rsidR="00316B02" w:rsidRPr="005D180D" w:rsidRDefault="00000000">
      <w:pPr>
        <w:spacing w:after="0" w:line="240" w:lineRule="auto"/>
        <w:jc w:val="both"/>
        <w:rPr>
          <w:rFonts w:ascii="Times New Roman" w:eastAsia="Times New Roman" w:hAnsi="Times New Roman" w:cs="Times New Roman"/>
          <w:color w:val="000000"/>
          <w:lang w:val="it-IT"/>
        </w:rPr>
      </w:pPr>
      <w:proofErr w:type="spellStart"/>
      <w:r w:rsidRPr="005D180D">
        <w:rPr>
          <w:rFonts w:ascii="Times New Roman" w:eastAsia="Times New Roman" w:hAnsi="Times New Roman" w:cs="Times New Roman"/>
          <w:color w:val="000000"/>
          <w:lang w:val="it-IT"/>
        </w:rPr>
        <w:t>Nuranisa</w:t>
      </w:r>
      <w:proofErr w:type="spellEnd"/>
      <w:r w:rsidRPr="005D180D">
        <w:rPr>
          <w:rFonts w:ascii="Times New Roman" w:eastAsia="Times New Roman" w:hAnsi="Times New Roman" w:cs="Times New Roman"/>
          <w:color w:val="000000"/>
          <w:lang w:val="it-IT"/>
        </w:rPr>
        <w:t xml:space="preserve"> </w:t>
      </w:r>
      <w:proofErr w:type="spellStart"/>
      <w:r w:rsidRPr="005D180D">
        <w:rPr>
          <w:rFonts w:ascii="Times New Roman" w:eastAsia="Times New Roman" w:hAnsi="Times New Roman" w:cs="Times New Roman"/>
          <w:color w:val="000000"/>
          <w:lang w:val="it-IT"/>
        </w:rPr>
        <w:t>Nuranisa</w:t>
      </w:r>
      <w:proofErr w:type="spellEnd"/>
      <w:r w:rsidRPr="005D180D">
        <w:rPr>
          <w:rFonts w:ascii="Times New Roman" w:eastAsia="Times New Roman" w:hAnsi="Times New Roman" w:cs="Times New Roman"/>
          <w:color w:val="000000"/>
          <w:lang w:val="it-IT"/>
        </w:rPr>
        <w:t xml:space="preserve">, MA, Leiden University </w:t>
      </w:r>
    </w:p>
    <w:p w14:paraId="79682B92" w14:textId="77777777" w:rsidR="00316B02" w:rsidRPr="005D180D" w:rsidRDefault="00316B02">
      <w:pPr>
        <w:spacing w:after="0" w:line="240" w:lineRule="auto"/>
        <w:jc w:val="both"/>
        <w:rPr>
          <w:rFonts w:ascii="Times New Roman" w:eastAsia="Times New Roman" w:hAnsi="Times New Roman" w:cs="Times New Roman"/>
          <w:color w:val="000000"/>
          <w:lang w:val="it-IT"/>
        </w:rPr>
      </w:pPr>
    </w:p>
    <w:p w14:paraId="2C5C8543" w14:textId="77777777" w:rsidR="00316B02" w:rsidRPr="005D180D" w:rsidRDefault="00000000">
      <w:pPr>
        <w:spacing w:after="0" w:line="240" w:lineRule="auto"/>
        <w:jc w:val="both"/>
        <w:rPr>
          <w:rFonts w:ascii="Times New Roman" w:eastAsia="Times New Roman" w:hAnsi="Times New Roman" w:cs="Times New Roman"/>
          <w:color w:val="000000"/>
          <w:lang w:val="it-IT"/>
        </w:rPr>
      </w:pPr>
      <w:proofErr w:type="spellStart"/>
      <w:r w:rsidRPr="005D180D">
        <w:rPr>
          <w:rFonts w:ascii="Times New Roman" w:eastAsia="Times New Roman" w:hAnsi="Times New Roman" w:cs="Times New Roman"/>
          <w:color w:val="000000"/>
          <w:lang w:val="it-IT"/>
        </w:rPr>
        <w:t>Yuanita</w:t>
      </w:r>
      <w:proofErr w:type="spellEnd"/>
      <w:r w:rsidRPr="005D180D">
        <w:rPr>
          <w:rFonts w:ascii="Times New Roman" w:eastAsia="Times New Roman" w:hAnsi="Times New Roman" w:cs="Times New Roman"/>
          <w:color w:val="000000"/>
          <w:lang w:val="it-IT"/>
        </w:rPr>
        <w:t xml:space="preserve"> </w:t>
      </w:r>
      <w:proofErr w:type="spellStart"/>
      <w:r w:rsidRPr="005D180D">
        <w:rPr>
          <w:rFonts w:ascii="Times New Roman" w:eastAsia="Times New Roman" w:hAnsi="Times New Roman" w:cs="Times New Roman"/>
          <w:color w:val="000000"/>
          <w:lang w:val="it-IT"/>
        </w:rPr>
        <w:t>Wahyu</w:t>
      </w:r>
      <w:proofErr w:type="spellEnd"/>
      <w:r w:rsidRPr="005D180D">
        <w:rPr>
          <w:rFonts w:ascii="Times New Roman" w:eastAsia="Times New Roman" w:hAnsi="Times New Roman" w:cs="Times New Roman"/>
          <w:color w:val="000000"/>
          <w:lang w:val="it-IT"/>
        </w:rPr>
        <w:t xml:space="preserve"> </w:t>
      </w:r>
      <w:proofErr w:type="spellStart"/>
      <w:r w:rsidRPr="005D180D">
        <w:rPr>
          <w:rFonts w:ascii="Times New Roman" w:eastAsia="Times New Roman" w:hAnsi="Times New Roman" w:cs="Times New Roman"/>
          <w:color w:val="000000"/>
          <w:lang w:val="it-IT"/>
        </w:rPr>
        <w:t>Pratiwi</w:t>
      </w:r>
      <w:proofErr w:type="spellEnd"/>
      <w:r w:rsidRPr="005D180D">
        <w:rPr>
          <w:rFonts w:ascii="Times New Roman" w:eastAsia="Times New Roman" w:hAnsi="Times New Roman" w:cs="Times New Roman"/>
          <w:color w:val="000000"/>
          <w:lang w:val="it-IT"/>
        </w:rPr>
        <w:t xml:space="preserve">, MA, Wageningen University </w:t>
      </w:r>
    </w:p>
    <w:p w14:paraId="747133AD" w14:textId="77777777" w:rsidR="00316B02" w:rsidRPr="005D180D" w:rsidRDefault="00316B02">
      <w:pPr>
        <w:spacing w:after="0" w:line="240" w:lineRule="auto"/>
        <w:jc w:val="both"/>
        <w:rPr>
          <w:rFonts w:ascii="Times New Roman" w:eastAsia="Times New Roman" w:hAnsi="Times New Roman" w:cs="Times New Roman"/>
          <w:color w:val="000000"/>
          <w:lang w:val="it-IT"/>
        </w:rPr>
      </w:pPr>
    </w:p>
    <w:p w14:paraId="35D879F8" w14:textId="77777777" w:rsidR="00316B02" w:rsidRDefault="00000000">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Angelo Galindo, MSc, Wageningen University </w:t>
      </w:r>
    </w:p>
    <w:p w14:paraId="2B3F713B" w14:textId="77777777" w:rsidR="005D180D" w:rsidRDefault="005D180D">
      <w:pPr>
        <w:spacing w:after="0" w:line="240" w:lineRule="auto"/>
        <w:jc w:val="both"/>
        <w:rPr>
          <w:rFonts w:ascii="Times New Roman" w:eastAsia="Times New Roman" w:hAnsi="Times New Roman" w:cs="Times New Roman"/>
          <w:color w:val="000000"/>
        </w:rPr>
      </w:pPr>
    </w:p>
    <w:p w14:paraId="40200748" w14:textId="278E3246" w:rsidR="005D180D" w:rsidRPr="005D180D" w:rsidRDefault="005D180D">
      <w:pPr>
        <w:spacing w:after="0" w:line="240" w:lineRule="auto"/>
        <w:jc w:val="both"/>
        <w:rPr>
          <w:rFonts w:ascii="Times New Roman" w:eastAsia="Times New Roman" w:hAnsi="Times New Roman" w:cs="Times New Roman"/>
          <w:b/>
          <w:bCs/>
          <w:color w:val="000000"/>
        </w:rPr>
      </w:pPr>
      <w:r w:rsidRPr="005D180D">
        <w:rPr>
          <w:rFonts w:ascii="Times New Roman" w:eastAsia="Times New Roman" w:hAnsi="Times New Roman" w:cs="Times New Roman"/>
          <w:b/>
          <w:bCs/>
          <w:color w:val="000000"/>
        </w:rPr>
        <w:t xml:space="preserve">Discussant: </w:t>
      </w:r>
    </w:p>
    <w:p w14:paraId="4124E493" w14:textId="77777777" w:rsidR="005D180D" w:rsidRDefault="005D180D">
      <w:pPr>
        <w:spacing w:after="0" w:line="240" w:lineRule="auto"/>
        <w:jc w:val="both"/>
        <w:rPr>
          <w:rFonts w:ascii="Times New Roman" w:eastAsia="Times New Roman" w:hAnsi="Times New Roman" w:cs="Times New Roman"/>
          <w:color w:val="000000"/>
        </w:rPr>
      </w:pPr>
    </w:p>
    <w:p w14:paraId="4CCBFE54" w14:textId="7286CA12" w:rsidR="00316B02" w:rsidRPr="005D180D" w:rsidRDefault="005D180D">
      <w:pPr>
        <w:spacing w:after="0" w:line="240" w:lineRule="auto"/>
        <w:jc w:val="both"/>
        <w:rPr>
          <w:rFonts w:ascii="Times New Roman" w:eastAsia="Times New Roman" w:hAnsi="Times New Roman" w:cs="Times New Roman"/>
          <w:color w:val="000000"/>
          <w:lang w:val="en-US"/>
        </w:rPr>
      </w:pPr>
      <w:r w:rsidRPr="005D180D">
        <w:rPr>
          <w:rFonts w:ascii="Times New Roman" w:eastAsia="Times New Roman" w:hAnsi="Times New Roman" w:cs="Times New Roman"/>
          <w:color w:val="000000"/>
          <w:lang w:val="nl-NL"/>
        </w:rPr>
        <w:t xml:space="preserve">Prof. dr. </w:t>
      </w:r>
      <w:r w:rsidRPr="005D180D">
        <w:rPr>
          <w:rFonts w:ascii="Times New Roman" w:eastAsia="Times New Roman" w:hAnsi="Times New Roman" w:cs="Times New Roman"/>
          <w:color w:val="000000"/>
          <w:lang w:val="en-US"/>
        </w:rPr>
        <w:t>Marieke Bloe</w:t>
      </w:r>
      <w:r w:rsidR="009B469A">
        <w:rPr>
          <w:rFonts w:ascii="Times New Roman" w:eastAsia="Times New Roman" w:hAnsi="Times New Roman" w:cs="Times New Roman"/>
          <w:color w:val="000000"/>
          <w:lang w:val="en-US"/>
        </w:rPr>
        <w:t>mb</w:t>
      </w:r>
      <w:r w:rsidRPr="005D180D">
        <w:rPr>
          <w:rFonts w:ascii="Times New Roman" w:eastAsia="Times New Roman" w:hAnsi="Times New Roman" w:cs="Times New Roman"/>
          <w:color w:val="000000"/>
          <w:lang w:val="en-US"/>
        </w:rPr>
        <w:t>ergen, Professor of He</w:t>
      </w:r>
      <w:r>
        <w:rPr>
          <w:rFonts w:ascii="Times New Roman" w:eastAsia="Times New Roman" w:hAnsi="Times New Roman" w:cs="Times New Roman"/>
          <w:color w:val="000000"/>
          <w:lang w:val="en-US"/>
        </w:rPr>
        <w:t>ritage and Postcolonial Studies in Indonesian History, Institute for History, Leiden University and KITLV/Royal Netherlands Institute of Southeast Asian and Caribbean Studies</w:t>
      </w:r>
    </w:p>
    <w:p w14:paraId="48E8B12F" w14:textId="77777777" w:rsidR="00316B02" w:rsidRPr="005D180D" w:rsidRDefault="00316B02">
      <w:pPr>
        <w:spacing w:after="0" w:line="240" w:lineRule="auto"/>
        <w:jc w:val="both"/>
        <w:rPr>
          <w:rFonts w:ascii="Times New Roman" w:eastAsia="Times New Roman" w:hAnsi="Times New Roman" w:cs="Times New Roman"/>
          <w:color w:val="000000"/>
          <w:lang w:val="en-US"/>
        </w:rPr>
      </w:pPr>
    </w:p>
    <w:p w14:paraId="21E23BA8" w14:textId="77777777" w:rsidR="00316B02" w:rsidRDefault="00000000">
      <w:pPr>
        <w:spacing w:after="0" w:line="240" w:lineRule="auto"/>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rPr>
        <w:t xml:space="preserve">Description and explanation of the chosen format </w:t>
      </w:r>
    </w:p>
    <w:p w14:paraId="7F175EDD" w14:textId="77777777" w:rsidR="00316B02" w:rsidRDefault="00316B02">
      <w:pPr>
        <w:spacing w:after="0" w:line="240" w:lineRule="auto"/>
        <w:jc w:val="both"/>
        <w:rPr>
          <w:rFonts w:ascii="Times New Roman" w:eastAsia="Times New Roman" w:hAnsi="Times New Roman" w:cs="Times New Roman"/>
          <w:b/>
          <w:bCs/>
          <w:color w:val="000000"/>
        </w:rPr>
      </w:pPr>
    </w:p>
    <w:p w14:paraId="3E9F4563" w14:textId="5B58681F" w:rsidR="00316B02" w:rsidRDefault="00000000">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This panel will be composed of four (4) paper presenters, each specializing in research projects that critically examine varied aspects of the respective colonial histories of either the Philippines or Indonesia. Both from Leiden University, Claveria studies the history of tuberculosis and leprosy in American colonial Philippines (early 20</w:t>
      </w:r>
      <w:r>
        <w:rPr>
          <w:rFonts w:ascii="Times New Roman" w:eastAsia="Times New Roman" w:hAnsi="Times New Roman" w:cs="Times New Roman"/>
          <w:color w:val="000000"/>
          <w:vertAlign w:val="superscript"/>
        </w:rPr>
        <w:t>th</w:t>
      </w:r>
      <w:r>
        <w:rPr>
          <w:rFonts w:ascii="Times New Roman" w:eastAsia="Times New Roman" w:hAnsi="Times New Roman" w:cs="Times New Roman"/>
          <w:color w:val="000000"/>
        </w:rPr>
        <w:t xml:space="preserve"> century), and </w:t>
      </w:r>
      <w:proofErr w:type="spellStart"/>
      <w:r>
        <w:rPr>
          <w:rFonts w:ascii="Times New Roman" w:eastAsia="Times New Roman" w:hAnsi="Times New Roman" w:cs="Times New Roman"/>
          <w:color w:val="000000"/>
        </w:rPr>
        <w:t>Nuranisa</w:t>
      </w:r>
      <w:proofErr w:type="spellEnd"/>
      <w:r>
        <w:rPr>
          <w:rFonts w:ascii="Times New Roman" w:eastAsia="Times New Roman" w:hAnsi="Times New Roman" w:cs="Times New Roman"/>
          <w:color w:val="000000"/>
        </w:rPr>
        <w:t xml:space="preserve"> examines the diplomatic practice of gift-giving between Javanese courts and the Dutch colonial government. Pratiwi and Galindo are both from Wageningen University, where Pratiwi examines the history of food security in Java during the long 19</w:t>
      </w:r>
      <w:r>
        <w:rPr>
          <w:rFonts w:ascii="Times New Roman" w:eastAsia="Times New Roman" w:hAnsi="Times New Roman" w:cs="Times New Roman"/>
          <w:color w:val="000000"/>
          <w:vertAlign w:val="superscript"/>
        </w:rPr>
        <w:t>th</w:t>
      </w:r>
      <w:r>
        <w:rPr>
          <w:rFonts w:ascii="Times New Roman" w:eastAsia="Times New Roman" w:hAnsi="Times New Roman" w:cs="Times New Roman"/>
          <w:color w:val="000000"/>
        </w:rPr>
        <w:t xml:space="preserve"> century, and Galindo traces the history of Philippine deforestation beginning in the 1850s. Though each research project differs in terms of their respective topics, they are arguably linked in terms of their geographic (i.e. Southeast Asia) and temporal scope (i.e. colonial period). This panel sees promise in bringing together historians formerly from universities in the Philippines and Indonesia and are now all pursuing their doctorates in Dutch universities. The varying topics and methods offered by the members of this panel, encourages an interdisciplinary appreciation for the colonial histories of the Philippines and Indonesia, and potential discussions on colonial </w:t>
      </w:r>
      <w:r>
        <w:rPr>
          <w:rFonts w:ascii="Times New Roman" w:eastAsia="Times New Roman" w:hAnsi="Times New Roman" w:cs="Times New Roman"/>
        </w:rPr>
        <w:t>practices</w:t>
      </w:r>
      <w:r>
        <w:rPr>
          <w:rFonts w:ascii="Times New Roman" w:eastAsia="Times New Roman" w:hAnsi="Times New Roman" w:cs="Times New Roman"/>
          <w:color w:val="000000"/>
        </w:rPr>
        <w:t xml:space="preserve"> and continuities that both countries have in common with each other. </w:t>
      </w:r>
      <w:r w:rsidR="005D180D">
        <w:rPr>
          <w:rFonts w:ascii="Times New Roman" w:eastAsia="Times New Roman" w:hAnsi="Times New Roman" w:cs="Times New Roman"/>
          <w:color w:val="000000"/>
        </w:rPr>
        <w:t xml:space="preserve">Moreover, </w:t>
      </w:r>
      <w:r w:rsidR="00840ACA">
        <w:rPr>
          <w:rFonts w:ascii="Times New Roman" w:eastAsia="Times New Roman" w:hAnsi="Times New Roman" w:cs="Times New Roman"/>
          <w:color w:val="000000"/>
        </w:rPr>
        <w:t xml:space="preserve">to </w:t>
      </w:r>
      <w:r w:rsidR="002C7740">
        <w:rPr>
          <w:rFonts w:ascii="Times New Roman" w:eastAsia="Times New Roman" w:hAnsi="Times New Roman" w:cs="Times New Roman"/>
          <w:color w:val="000000"/>
        </w:rPr>
        <w:t xml:space="preserve">encourage </w:t>
      </w:r>
      <w:r w:rsidR="00840ACA">
        <w:rPr>
          <w:rFonts w:ascii="Times New Roman" w:eastAsia="Times New Roman" w:hAnsi="Times New Roman" w:cs="Times New Roman"/>
          <w:color w:val="000000"/>
        </w:rPr>
        <w:t xml:space="preserve">in-depth discussions and </w:t>
      </w:r>
      <w:r w:rsidR="00A35DD3">
        <w:rPr>
          <w:rFonts w:ascii="Times New Roman" w:eastAsia="Times New Roman" w:hAnsi="Times New Roman" w:cs="Times New Roman"/>
          <w:color w:val="000000"/>
        </w:rPr>
        <w:t>invite</w:t>
      </w:r>
      <w:r w:rsidR="00840ACA">
        <w:rPr>
          <w:rFonts w:ascii="Times New Roman" w:eastAsia="Times New Roman" w:hAnsi="Times New Roman" w:cs="Times New Roman"/>
          <w:color w:val="000000"/>
        </w:rPr>
        <w:t xml:space="preserve"> a more profound appreciation </w:t>
      </w:r>
      <w:r w:rsidR="002C7740">
        <w:rPr>
          <w:rFonts w:ascii="Times New Roman" w:eastAsia="Times New Roman" w:hAnsi="Times New Roman" w:cs="Times New Roman"/>
          <w:color w:val="000000"/>
        </w:rPr>
        <w:t>for</w:t>
      </w:r>
      <w:r w:rsidR="00840ACA">
        <w:rPr>
          <w:rFonts w:ascii="Times New Roman" w:eastAsia="Times New Roman" w:hAnsi="Times New Roman" w:cs="Times New Roman"/>
          <w:color w:val="000000"/>
        </w:rPr>
        <w:t xml:space="preserve"> the panel’s overarching historical contexts and themes, the panel is privileged to have invited </w:t>
      </w:r>
      <w:r w:rsidR="00143B93">
        <w:rPr>
          <w:rFonts w:ascii="Times New Roman" w:eastAsia="Times New Roman" w:hAnsi="Times New Roman" w:cs="Times New Roman"/>
          <w:color w:val="000000"/>
        </w:rPr>
        <w:t xml:space="preserve">as their discussant, </w:t>
      </w:r>
      <w:r w:rsidR="00840ACA">
        <w:rPr>
          <w:rFonts w:ascii="Times New Roman" w:eastAsia="Times New Roman" w:hAnsi="Times New Roman" w:cs="Times New Roman"/>
          <w:color w:val="000000"/>
        </w:rPr>
        <w:t>Prof. dr. Marieke Bloembergen of the Institute for History in Leiden University, and the KITLV/Royal Netherlands Institute of Southeast Asian and Caribbean Studies</w:t>
      </w:r>
      <w:r w:rsidR="00143B93">
        <w:rPr>
          <w:rFonts w:ascii="Times New Roman" w:eastAsia="Times New Roman" w:hAnsi="Times New Roman" w:cs="Times New Roman"/>
          <w:color w:val="000000"/>
        </w:rPr>
        <w:t>.</w:t>
      </w:r>
      <w:r w:rsidR="00840ACA">
        <w:rPr>
          <w:rFonts w:ascii="Times New Roman" w:eastAsia="Times New Roman" w:hAnsi="Times New Roman" w:cs="Times New Roman"/>
          <w:color w:val="000000"/>
        </w:rPr>
        <w:t xml:space="preserve"> </w:t>
      </w:r>
    </w:p>
    <w:p w14:paraId="7F35BF9A" w14:textId="77777777" w:rsidR="00316B02" w:rsidRDefault="00316B02">
      <w:pPr>
        <w:spacing w:after="0" w:line="240" w:lineRule="auto"/>
        <w:jc w:val="both"/>
        <w:rPr>
          <w:rFonts w:ascii="Times New Roman" w:eastAsia="Times New Roman" w:hAnsi="Times New Roman" w:cs="Times New Roman"/>
          <w:color w:val="000000"/>
        </w:rPr>
      </w:pPr>
    </w:p>
    <w:p w14:paraId="4B9D37EB" w14:textId="77777777" w:rsidR="002C7740" w:rsidRDefault="002C7740">
      <w:pPr>
        <w:spacing w:after="0" w:line="240" w:lineRule="auto"/>
        <w:jc w:val="both"/>
        <w:rPr>
          <w:rFonts w:ascii="Times New Roman" w:eastAsia="Times New Roman" w:hAnsi="Times New Roman" w:cs="Times New Roman"/>
          <w:b/>
          <w:bCs/>
          <w:color w:val="000000"/>
        </w:rPr>
      </w:pPr>
    </w:p>
    <w:p w14:paraId="19B7274A" w14:textId="77777777" w:rsidR="002C7740" w:rsidRDefault="002C7740">
      <w:pPr>
        <w:spacing w:after="0" w:line="240" w:lineRule="auto"/>
        <w:jc w:val="both"/>
        <w:rPr>
          <w:rFonts w:ascii="Times New Roman" w:eastAsia="Times New Roman" w:hAnsi="Times New Roman" w:cs="Times New Roman"/>
          <w:b/>
          <w:bCs/>
          <w:color w:val="000000"/>
        </w:rPr>
      </w:pPr>
    </w:p>
    <w:p w14:paraId="7CB557B1" w14:textId="77777777" w:rsidR="002C7740" w:rsidRDefault="002C7740">
      <w:pPr>
        <w:spacing w:after="0" w:line="240" w:lineRule="auto"/>
        <w:jc w:val="both"/>
        <w:rPr>
          <w:rFonts w:ascii="Times New Roman" w:eastAsia="Times New Roman" w:hAnsi="Times New Roman" w:cs="Times New Roman"/>
          <w:b/>
          <w:bCs/>
          <w:color w:val="000000"/>
        </w:rPr>
      </w:pPr>
    </w:p>
    <w:p w14:paraId="0CEA8D5F" w14:textId="77777777" w:rsidR="002C7740" w:rsidRDefault="002C7740">
      <w:pPr>
        <w:spacing w:after="0" w:line="240" w:lineRule="auto"/>
        <w:jc w:val="both"/>
        <w:rPr>
          <w:rFonts w:ascii="Times New Roman" w:eastAsia="Times New Roman" w:hAnsi="Times New Roman" w:cs="Times New Roman"/>
          <w:b/>
          <w:bCs/>
          <w:color w:val="000000"/>
        </w:rPr>
      </w:pPr>
    </w:p>
    <w:p w14:paraId="72F3F7E2" w14:textId="77777777" w:rsidR="002C7740" w:rsidRDefault="002C7740">
      <w:pPr>
        <w:spacing w:after="0" w:line="240" w:lineRule="auto"/>
        <w:jc w:val="both"/>
        <w:rPr>
          <w:rFonts w:ascii="Times New Roman" w:eastAsia="Times New Roman" w:hAnsi="Times New Roman" w:cs="Times New Roman"/>
          <w:b/>
          <w:bCs/>
          <w:color w:val="000000"/>
        </w:rPr>
      </w:pPr>
    </w:p>
    <w:p w14:paraId="4C047294" w14:textId="1D3E1D3A" w:rsidR="00316B02" w:rsidRDefault="00000000">
      <w:pPr>
        <w:spacing w:after="0" w:line="240" w:lineRule="auto"/>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rPr>
        <w:lastRenderedPageBreak/>
        <w:t xml:space="preserve">Description of the panel </w:t>
      </w:r>
    </w:p>
    <w:p w14:paraId="61AC6683" w14:textId="77777777" w:rsidR="00316B02" w:rsidRDefault="00316B02">
      <w:pPr>
        <w:spacing w:after="0" w:line="240" w:lineRule="auto"/>
        <w:jc w:val="both"/>
        <w:rPr>
          <w:rFonts w:ascii="Times New Roman" w:eastAsia="Times New Roman" w:hAnsi="Times New Roman" w:cs="Times New Roman"/>
          <w:color w:val="000000"/>
        </w:rPr>
      </w:pPr>
    </w:p>
    <w:p w14:paraId="2DE5AC1F" w14:textId="0E204230" w:rsidR="00316B02" w:rsidRDefault="00000000">
      <w:pPr>
        <w:spacing w:after="0" w:line="240" w:lineRule="auto"/>
        <w:jc w:val="both"/>
      </w:pPr>
      <w:r>
        <w:rPr>
          <w:rFonts w:ascii="Times New Roman" w:eastAsia="Times New Roman" w:hAnsi="Times New Roman" w:cs="Times New Roman"/>
        </w:rPr>
        <w:t xml:space="preserve">The colonial historiographies of the Philippines and Indonesia are often focused mainly on the legacies of notable colonial figures, are framed within the boundaries of colonial institutions, or are confined within myopic </w:t>
      </w:r>
      <w:proofErr w:type="spellStart"/>
      <w:r>
        <w:rPr>
          <w:rFonts w:ascii="Times New Roman" w:eastAsia="Times New Roman" w:hAnsi="Times New Roman" w:cs="Times New Roman"/>
        </w:rPr>
        <w:t>emplotments</w:t>
      </w:r>
      <w:proofErr w:type="spellEnd"/>
      <w:r>
        <w:rPr>
          <w:rFonts w:ascii="Times New Roman" w:eastAsia="Times New Roman" w:hAnsi="Times New Roman" w:cs="Times New Roman"/>
        </w:rPr>
        <w:t xml:space="preserve"> of historical events. </w:t>
      </w:r>
      <w:r>
        <w:rPr>
          <w:rFonts w:ascii="Times New Roman" w:eastAsia="Times New Roman" w:hAnsi="Times New Roman" w:cs="Times New Roman"/>
          <w:color w:val="000000"/>
        </w:rPr>
        <w:t>Th</w:t>
      </w:r>
      <w:r>
        <w:rPr>
          <w:rFonts w:ascii="Times New Roman" w:eastAsia="Times New Roman" w:hAnsi="Times New Roman" w:cs="Times New Roman"/>
        </w:rPr>
        <w:t xml:space="preserve">e paper presentations of this panel attempt to collectively propose an alternative response towards “histories from above”, by offering narratives or case studies that emphasize the relevance of everyday or mundane practices in the colonies. This panel </w:t>
      </w:r>
      <w:r>
        <w:rPr>
          <w:rFonts w:ascii="Times New Roman" w:eastAsia="Times New Roman" w:hAnsi="Times New Roman" w:cs="Times New Roman"/>
          <w:color w:val="000000"/>
        </w:rPr>
        <w:t xml:space="preserve">binds together the works of four doctoral candidates whose research projects respectively deal with the colonial Philippines and Indonesia. Through the lens of practice, each contributor offers an understanding of how seemingly quotidian colonial governance was carried out in varied colonial institutional structures. This includes elements such as medicine, diplomacy, </w:t>
      </w:r>
      <w:r>
        <w:rPr>
          <w:rFonts w:ascii="Times New Roman" w:eastAsia="Times New Roman" w:hAnsi="Times New Roman" w:cs="Times New Roman"/>
        </w:rPr>
        <w:t>food</w:t>
      </w:r>
      <w:r>
        <w:rPr>
          <w:rFonts w:ascii="Times New Roman" w:eastAsia="Times New Roman" w:hAnsi="Times New Roman" w:cs="Times New Roman"/>
          <w:color w:val="000000"/>
        </w:rPr>
        <w:t xml:space="preserve">, and </w:t>
      </w:r>
      <w:r>
        <w:rPr>
          <w:rFonts w:ascii="Times New Roman" w:eastAsia="Times New Roman" w:hAnsi="Times New Roman" w:cs="Times New Roman"/>
        </w:rPr>
        <w:t>forestry</w:t>
      </w:r>
      <w:r>
        <w:rPr>
          <w:rFonts w:ascii="Times New Roman" w:eastAsia="Times New Roman" w:hAnsi="Times New Roman" w:cs="Times New Roman"/>
          <w:color w:val="000000"/>
        </w:rPr>
        <w:t xml:space="preserve">. Ostensibly, each work varies in and of itself; however, on closer scrutiny, they reveal to us how empires operated through this series of mundane colonial practices. Claveria examines the routinary </w:t>
      </w:r>
      <w:r>
        <w:rPr>
          <w:rFonts w:ascii="Times New Roman" w:eastAsia="Times New Roman" w:hAnsi="Times New Roman" w:cs="Times New Roman"/>
        </w:rPr>
        <w:t>scientific</w:t>
      </w:r>
      <w:r>
        <w:rPr>
          <w:rFonts w:ascii="Times New Roman" w:eastAsia="Times New Roman" w:hAnsi="Times New Roman" w:cs="Times New Roman"/>
          <w:color w:val="000000"/>
        </w:rPr>
        <w:t xml:space="preserve"> practices surrounding tuberculosis and leprosy in the early 20th-century Philippines, </w:t>
      </w:r>
      <w:r>
        <w:rPr>
          <w:rFonts w:ascii="Times New Roman" w:eastAsia="Times New Roman" w:hAnsi="Times New Roman" w:cs="Times New Roman"/>
        </w:rPr>
        <w:t>to show how landmark medical developments were rooted in mundane laboratory practices and clinical encounters with patients</w:t>
      </w:r>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Nuranisa</w:t>
      </w:r>
      <w:proofErr w:type="spellEnd"/>
      <w:r>
        <w:rPr>
          <w:rFonts w:ascii="Times New Roman" w:eastAsia="Times New Roman" w:hAnsi="Times New Roman" w:cs="Times New Roman"/>
          <w:color w:val="000000"/>
        </w:rPr>
        <w:t xml:space="preserve"> explores the mechanisms underpinning gift exchange between indigenous courts and the Dutch colonial government in the 19th century. This involves examining the objects exchanged and the occasions on which gift-giving was required, and more importantly, it focuses on the very process of gifting itself, from the procurement of the gifts to their denouement. Whereas Pratiwi seeks to </w:t>
      </w:r>
      <w:r>
        <w:rPr>
          <w:rFonts w:ascii="Times New Roman" w:eastAsia="Times New Roman" w:hAnsi="Times New Roman" w:cs="Times New Roman"/>
        </w:rPr>
        <w:t xml:space="preserve">reconstruct </w:t>
      </w:r>
      <w:r>
        <w:rPr>
          <w:rFonts w:ascii="Times New Roman" w:eastAsia="Times New Roman" w:hAnsi="Times New Roman" w:cs="Times New Roman"/>
          <w:color w:val="000000"/>
        </w:rPr>
        <w:t>the definition and practice of food security through the Javanese lens</w:t>
      </w:r>
      <w:r>
        <w:rPr>
          <w:rFonts w:ascii="Times New Roman" w:eastAsia="Times New Roman" w:hAnsi="Times New Roman" w:cs="Times New Roman"/>
        </w:rPr>
        <w:t xml:space="preserve"> in the early 19th century and examine how societal changes brought by Dutch colonialism throughout the century influenced Javanese food security. </w:t>
      </w:r>
      <w:r>
        <w:rPr>
          <w:rFonts w:ascii="Times New Roman" w:eastAsia="Times New Roman" w:hAnsi="Times New Roman" w:cs="Times New Roman"/>
          <w:color w:val="000000"/>
        </w:rPr>
        <w:t xml:space="preserve">Galindo </w:t>
      </w:r>
      <w:r>
        <w:rPr>
          <w:rFonts w:ascii="Times New Roman" w:eastAsia="Times New Roman" w:hAnsi="Times New Roman" w:cs="Times New Roman"/>
        </w:rPr>
        <w:t>traces</w:t>
      </w:r>
      <w:r>
        <w:rPr>
          <w:rFonts w:ascii="Times New Roman" w:eastAsia="Times New Roman" w:hAnsi="Times New Roman" w:cs="Times New Roman"/>
          <w:color w:val="000000"/>
        </w:rPr>
        <w:t xml:space="preserve"> deforestation in the Philippines since the 1850s</w:t>
      </w:r>
      <w:r>
        <w:rPr>
          <w:rFonts w:ascii="Times New Roman" w:eastAsia="Times New Roman" w:hAnsi="Times New Roman" w:cs="Times New Roman"/>
        </w:rPr>
        <w:t xml:space="preserve"> through practices of knowledge production and environmental control, examining land laws, forest surveys, and colonial cartographic practices. </w:t>
      </w:r>
      <w:r>
        <w:rPr>
          <w:rFonts w:ascii="Times New Roman" w:eastAsia="Times New Roman" w:hAnsi="Times New Roman" w:cs="Times New Roman"/>
          <w:color w:val="000000"/>
        </w:rPr>
        <w:t>Together, these papers shed light on the multiplicit</w:t>
      </w:r>
      <w:r>
        <w:rPr>
          <w:rFonts w:ascii="Times New Roman" w:eastAsia="Times New Roman" w:hAnsi="Times New Roman" w:cs="Times New Roman"/>
        </w:rPr>
        <w:t>ies</w:t>
      </w:r>
      <w:r>
        <w:rPr>
          <w:rFonts w:ascii="Times New Roman" w:eastAsia="Times New Roman" w:hAnsi="Times New Roman" w:cs="Times New Roman"/>
          <w:color w:val="000000"/>
        </w:rPr>
        <w:t xml:space="preserve"> of colonial </w:t>
      </w:r>
      <w:r>
        <w:rPr>
          <w:rFonts w:ascii="Times New Roman" w:eastAsia="Times New Roman" w:hAnsi="Times New Roman" w:cs="Times New Roman"/>
        </w:rPr>
        <w:t>mundanities and practices</w:t>
      </w:r>
      <w:r>
        <w:rPr>
          <w:rFonts w:ascii="Times New Roman" w:eastAsia="Times New Roman" w:hAnsi="Times New Roman" w:cs="Times New Roman"/>
          <w:color w:val="000000"/>
        </w:rPr>
        <w:t xml:space="preserve"> in maritime Southeast Asia.</w:t>
      </w:r>
      <w:r w:rsidR="005D180D">
        <w:rPr>
          <w:rFonts w:ascii="Times New Roman" w:eastAsia="Times New Roman" w:hAnsi="Times New Roman" w:cs="Times New Roman"/>
          <w:color w:val="000000"/>
        </w:rPr>
        <w:t xml:space="preserve"> </w:t>
      </w:r>
    </w:p>
    <w:p w14:paraId="5F08F6C1" w14:textId="77777777" w:rsidR="00316B02" w:rsidRDefault="00316B02">
      <w:pPr>
        <w:spacing w:after="0" w:line="240" w:lineRule="auto"/>
        <w:jc w:val="both"/>
        <w:rPr>
          <w:rFonts w:ascii="Times New Roman" w:eastAsia="Times New Roman" w:hAnsi="Times New Roman" w:cs="Times New Roman"/>
          <w:color w:val="000000"/>
        </w:rPr>
      </w:pPr>
    </w:p>
    <w:sectPr w:rsidR="00316B02">
      <w:footerReference w:type="even" r:id="rId7"/>
      <w:footerReference w:type="default" r:id="rId8"/>
      <w:footerReference w:type="first" r:id="rId9"/>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33E73" w14:textId="77777777" w:rsidR="006D15C6" w:rsidRDefault="006D15C6">
      <w:pPr>
        <w:spacing w:after="0" w:line="240" w:lineRule="auto"/>
      </w:pPr>
      <w:r>
        <w:separator/>
      </w:r>
    </w:p>
  </w:endnote>
  <w:endnote w:type="continuationSeparator" w:id="0">
    <w:p w14:paraId="4DA56B9F" w14:textId="77777777" w:rsidR="006D15C6" w:rsidRDefault="006D15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embedRegular r:id="rId1" w:fontKey="{30C27B87-58BA-4255-9266-4FE00D861609}"/>
    <w:embedItalic r:id="rId2" w:fontKey="{7D99D88B-BD4C-4EDE-9B8C-0597D13DF845}"/>
  </w:font>
  <w:font w:name="Play">
    <w:charset w:val="00"/>
    <w:family w:val="auto"/>
    <w:pitch w:val="default"/>
    <w:embedRegular r:id="rId3" w:fontKey="{63E75E38-CB96-476A-8181-01439695A2A9}"/>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4" w:fontKey="{1D94F73B-03FF-4D6D-9555-6D61C9F800BD}"/>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E3939" w14:textId="77777777" w:rsidR="00316B02" w:rsidRDefault="00000000">
    <w:pPr>
      <w:pBdr>
        <w:top w:val="nil"/>
        <w:left w:val="nil"/>
        <w:bottom w:val="nil"/>
        <w:right w:val="nil"/>
        <w:between w:val="nil"/>
      </w:pBdr>
      <w:tabs>
        <w:tab w:val="center" w:pos="4680"/>
        <w:tab w:val="right" w:pos="9360"/>
      </w:tabs>
      <w:spacing w:after="0" w:line="240" w:lineRule="auto"/>
      <w:rPr>
        <w:color w:val="000000"/>
      </w:rPr>
    </w:pPr>
    <w:r>
      <w:rPr>
        <w:noProof/>
      </w:rPr>
      <mc:AlternateContent>
        <mc:Choice Requires="wps">
          <w:drawing>
            <wp:anchor distT="0" distB="0" distL="0" distR="0" simplePos="0" relativeHeight="251660288" behindDoc="0" locked="0" layoutInCell="1" hidden="0" allowOverlap="1" wp14:anchorId="307EAA92" wp14:editId="06626DBF">
              <wp:simplePos x="0" y="0"/>
              <wp:positionH relativeFrom="column">
                <wp:posOffset>-919161</wp:posOffset>
              </wp:positionH>
              <wp:positionV relativeFrom="paragraph">
                <wp:posOffset>-4761</wp:posOffset>
              </wp:positionV>
              <wp:extent cx="1768475" cy="381000"/>
              <wp:effectExtent l="0" t="0" r="0" b="0"/>
              <wp:wrapNone/>
              <wp:docPr id="1685260583" name="Rectangle 1685260583" descr="Classified as Internal | Intern"/>
              <wp:cNvGraphicFramePr/>
              <a:graphic xmlns:a="http://schemas.openxmlformats.org/drawingml/2006/main">
                <a:graphicData uri="http://schemas.microsoft.com/office/word/2010/wordprocessingShape">
                  <wps:wsp>
                    <wps:cNvSpPr/>
                    <wps:spPr>
                      <a:xfrm>
                        <a:off x="4466525" y="3594263"/>
                        <a:ext cx="1758950" cy="371475"/>
                      </a:xfrm>
                      <a:prstGeom prst="rect">
                        <a:avLst/>
                      </a:prstGeom>
                      <a:noFill/>
                      <a:ln>
                        <a:noFill/>
                      </a:ln>
                    </wps:spPr>
                    <wps:txbx>
                      <w:txbxContent>
                        <w:p w14:paraId="089CF867" w14:textId="77777777" w:rsidR="00316B02" w:rsidRDefault="00000000">
                          <w:pPr>
                            <w:spacing w:after="0"/>
                            <w:textDirection w:val="btLr"/>
                          </w:pPr>
                          <w:r>
                            <w:rPr>
                              <w:color w:val="000000"/>
                              <w:sz w:val="20"/>
                            </w:rPr>
                            <w:t>Classified as Internal | Intern</w:t>
                          </w:r>
                        </w:p>
                      </w:txbxContent>
                    </wps:txbx>
                    <wps:bodyPr spcFirstLastPara="1" wrap="square" lIns="254000" tIns="0" rIns="0" bIns="190500" anchor="b" anchorCtr="0">
                      <a:noAutofit/>
                    </wps:bodyPr>
                  </wps:wsp>
                </a:graphicData>
              </a:graphic>
            </wp:anchor>
          </w:drawing>
        </mc:Choice>
        <mc:Fallback>
          <w:pict>
            <v:rect w14:anchorId="307EAA92" id="Rectangle 1685260583" o:spid="_x0000_s1026" alt="Classified as Internal | Intern" style="position:absolute;margin-left:-72.35pt;margin-top:-.35pt;width:139.25pt;height:30pt;z-index:251660288;visibility:visible;mso-wrap-style:square;mso-wrap-distance-left:0;mso-wrap-distance-top:0;mso-wrap-distance-right:0;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" filled="f" stroked="f">
              <v:textbox inset="20pt,0,0,15pt">
                <w:txbxContent>
                  <w:p w14:paraId="089CF867" w14:textId="77777777" w:rsidR="00316B02" w:rsidRDefault="00000000">
                    <w:pPr>
                      <w:spacing w:after="0"/>
                      <w:textDirection w:val="btLr"/>
                    </w:pPr>
                    <w:r>
                      <w:rPr>
                        <w:color w:val="000000"/>
                        <w:sz w:val="20"/>
                      </w:rPr>
                      <w:t>Classified as Internal | Intern</w:t>
                    </w:r>
                  </w:p>
                </w:txbxContent>
              </v:textbox>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008147"/>
      <w:docPartObj>
        <w:docPartGallery w:val="Page Numbers (Bottom of Page)"/>
        <w:docPartUnique/>
      </w:docPartObj>
    </w:sdtPr>
    <w:sdtEndPr>
      <w:rPr>
        <w:rFonts w:ascii="Times New Roman" w:hAnsi="Times New Roman" w:cs="Times New Roman"/>
        <w:noProof/>
      </w:rPr>
    </w:sdtEndPr>
    <w:sdtContent>
      <w:p w14:paraId="4CF926CB" w14:textId="24300BDA" w:rsidR="002C7740" w:rsidRPr="002C7740" w:rsidRDefault="002C7740">
        <w:pPr>
          <w:pStyle w:val="Footer"/>
          <w:jc w:val="right"/>
          <w:rPr>
            <w:rFonts w:ascii="Times New Roman" w:hAnsi="Times New Roman" w:cs="Times New Roman"/>
          </w:rPr>
        </w:pPr>
        <w:r w:rsidRPr="002C7740">
          <w:rPr>
            <w:rFonts w:ascii="Times New Roman" w:hAnsi="Times New Roman" w:cs="Times New Roman"/>
          </w:rPr>
          <w:fldChar w:fldCharType="begin"/>
        </w:r>
        <w:r w:rsidRPr="002C7740">
          <w:rPr>
            <w:rFonts w:ascii="Times New Roman" w:hAnsi="Times New Roman" w:cs="Times New Roman"/>
          </w:rPr>
          <w:instrText xml:space="preserve"> PAGE   \* MERGEFORMAT </w:instrText>
        </w:r>
        <w:r w:rsidRPr="002C7740">
          <w:rPr>
            <w:rFonts w:ascii="Times New Roman" w:hAnsi="Times New Roman" w:cs="Times New Roman"/>
          </w:rPr>
          <w:fldChar w:fldCharType="separate"/>
        </w:r>
        <w:r w:rsidRPr="002C7740">
          <w:rPr>
            <w:rFonts w:ascii="Times New Roman" w:hAnsi="Times New Roman" w:cs="Times New Roman"/>
            <w:noProof/>
          </w:rPr>
          <w:t>2</w:t>
        </w:r>
        <w:r w:rsidRPr="002C7740">
          <w:rPr>
            <w:rFonts w:ascii="Times New Roman" w:hAnsi="Times New Roman" w:cs="Times New Roman"/>
            <w:noProof/>
          </w:rPr>
          <w:fldChar w:fldCharType="end"/>
        </w:r>
      </w:p>
    </w:sdtContent>
  </w:sdt>
  <w:p w14:paraId="1B704631" w14:textId="785E192F" w:rsidR="00316B02" w:rsidRDefault="00316B02">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DF037" w14:textId="77777777" w:rsidR="00316B02" w:rsidRDefault="00000000">
    <w:pPr>
      <w:pBdr>
        <w:top w:val="nil"/>
        <w:left w:val="nil"/>
        <w:bottom w:val="nil"/>
        <w:right w:val="nil"/>
        <w:between w:val="nil"/>
      </w:pBdr>
      <w:tabs>
        <w:tab w:val="center" w:pos="4680"/>
        <w:tab w:val="right" w:pos="9360"/>
      </w:tabs>
      <w:spacing w:after="0" w:line="240" w:lineRule="auto"/>
      <w:rPr>
        <w:color w:val="000000"/>
      </w:rPr>
    </w:pPr>
    <w:r>
      <w:rPr>
        <w:noProof/>
      </w:rPr>
      <mc:AlternateContent>
        <mc:Choice Requires="wps">
          <w:drawing>
            <wp:anchor distT="0" distB="0" distL="0" distR="0" simplePos="0" relativeHeight="251659264" behindDoc="0" locked="0" layoutInCell="1" hidden="0" allowOverlap="1" wp14:anchorId="46E52B09" wp14:editId="60B0D8DA">
              <wp:simplePos x="0" y="0"/>
              <wp:positionH relativeFrom="column">
                <wp:posOffset>-919161</wp:posOffset>
              </wp:positionH>
              <wp:positionV relativeFrom="paragraph">
                <wp:posOffset>-4761</wp:posOffset>
              </wp:positionV>
              <wp:extent cx="1768475" cy="381000"/>
              <wp:effectExtent l="0" t="0" r="0" b="0"/>
              <wp:wrapNone/>
              <wp:docPr id="1685260581" name="Rectangle 1685260581" descr="Classified as Internal | Intern"/>
              <wp:cNvGraphicFramePr/>
              <a:graphic xmlns:a="http://schemas.openxmlformats.org/drawingml/2006/main">
                <a:graphicData uri="http://schemas.microsoft.com/office/word/2010/wordprocessingShape">
                  <wps:wsp>
                    <wps:cNvSpPr/>
                    <wps:spPr>
                      <a:xfrm>
                        <a:off x="4466525" y="3594263"/>
                        <a:ext cx="1758950" cy="371475"/>
                      </a:xfrm>
                      <a:prstGeom prst="rect">
                        <a:avLst/>
                      </a:prstGeom>
                      <a:noFill/>
                      <a:ln>
                        <a:noFill/>
                      </a:ln>
                    </wps:spPr>
                    <wps:txbx>
                      <w:txbxContent>
                        <w:p w14:paraId="03AF687A" w14:textId="77777777" w:rsidR="00316B02" w:rsidRDefault="00000000">
                          <w:pPr>
                            <w:spacing w:after="0"/>
                            <w:textDirection w:val="btLr"/>
                          </w:pPr>
                          <w:r>
                            <w:rPr>
                              <w:color w:val="000000"/>
                              <w:sz w:val="20"/>
                            </w:rPr>
                            <w:t>Classified as Internal | Intern</w:t>
                          </w:r>
                        </w:p>
                      </w:txbxContent>
                    </wps:txbx>
                    <wps:bodyPr spcFirstLastPara="1" wrap="square" lIns="254000" tIns="0" rIns="0" bIns="190500" anchor="b" anchorCtr="0">
                      <a:noAutofit/>
                    </wps:bodyPr>
                  </wps:wsp>
                </a:graphicData>
              </a:graphic>
            </wp:anchor>
          </w:drawing>
        </mc:Choice>
        <mc:Fallback>
          <w:pict>
            <v:rect w14:anchorId="46E52B09" id="Rectangle 1685260581" o:spid="_x0000_s1027" alt="Classified as Internal | Intern" style="position:absolute;margin-left:-72.35pt;margin-top:-.35pt;width:139.25pt;height:30pt;z-index:251659264;visibility:visible;mso-wrap-style:square;mso-wrap-distance-left:0;mso-wrap-distance-top:0;mso-wrap-distance-right:0;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" filled="f" stroked="f">
              <v:textbox inset="20pt,0,0,15pt">
                <w:txbxContent>
                  <w:p w14:paraId="03AF687A" w14:textId="77777777" w:rsidR="00316B02" w:rsidRDefault="00000000">
                    <w:pPr>
                      <w:spacing w:after="0"/>
                      <w:textDirection w:val="btLr"/>
                    </w:pPr>
                    <w:r>
                      <w:rPr>
                        <w:color w:val="000000"/>
                        <w:sz w:val="20"/>
                      </w:rPr>
                      <w:t>Classified as Internal | Intern</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06945" w14:textId="77777777" w:rsidR="006D15C6" w:rsidRDefault="006D15C6">
      <w:pPr>
        <w:spacing w:after="0" w:line="240" w:lineRule="auto"/>
      </w:pPr>
      <w:r>
        <w:separator/>
      </w:r>
    </w:p>
  </w:footnote>
  <w:footnote w:type="continuationSeparator" w:id="0">
    <w:p w14:paraId="21A6DA4E" w14:textId="77777777" w:rsidR="006D15C6" w:rsidRDefault="006D15C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TrueTypeFont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6B02"/>
    <w:rsid w:val="00143B93"/>
    <w:rsid w:val="002C7740"/>
    <w:rsid w:val="00316B02"/>
    <w:rsid w:val="00596AA2"/>
    <w:rsid w:val="005D180D"/>
    <w:rsid w:val="006D15C6"/>
    <w:rsid w:val="00840ACA"/>
    <w:rsid w:val="009B469A"/>
    <w:rsid w:val="00A35D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07F7E"/>
  <w15:docId w15:val="{D243C26B-5F02-4428-BC34-EFAC7D327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Play" w:eastAsia="Play" w:hAnsi="Play" w:cs="Play"/>
      <w:color w:val="0F4761"/>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Play" w:eastAsia="Play" w:hAnsi="Play" w:cs="Play"/>
      <w:color w:val="0F4761"/>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color w:val="0F4761"/>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iCs/>
      <w:color w:val="0F4761"/>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0F4761"/>
    </w:rPr>
  </w:style>
  <w:style w:type="paragraph" w:styleId="Heading6">
    <w:name w:val="heading 6"/>
    <w:basedOn w:val="Normal"/>
    <w:next w:val="Normal"/>
    <w:link w:val="Heading6Char"/>
    <w:uiPriority w:val="9"/>
    <w:semiHidden/>
    <w:unhideWhenUsed/>
    <w:qFormat/>
    <w:pPr>
      <w:keepNext/>
      <w:keepLines/>
      <w:spacing w:before="40" w:after="0"/>
      <w:outlineLvl w:val="5"/>
    </w:pPr>
    <w:rPr>
      <w:i/>
      <w:iCs/>
      <w:color w:val="595959"/>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pPr>
      <w:spacing w:after="80" w:line="240" w:lineRule="auto"/>
    </w:pPr>
    <w:rPr>
      <w:rFonts w:ascii="Play" w:eastAsia="Play" w:hAnsi="Play" w:cs="Play"/>
      <w:sz w:val="56"/>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Footer">
    <w:name w:val="footer"/>
    <w:basedOn w:val="Normal"/>
    <w:link w:val="FooterChar"/>
    <w:uiPriority w:val="99"/>
    <w:unhideWhenUsed/>
    <w:rsid w:val="000072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720B"/>
  </w:style>
  <w:style w:type="character" w:styleId="Hyperlink">
    <w:name w:val="Hyperlink"/>
    <w:basedOn w:val="DefaultParagraphFont"/>
    <w:uiPriority w:val="99"/>
    <w:unhideWhenUsed/>
    <w:rsid w:val="3C503512"/>
    <w:rPr>
      <w:color w:val="467886"/>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657A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7A3D"/>
  </w:style>
  <w:style w:type="paragraph" w:styleId="Subtitle">
    <w:name w:val="Subtitle"/>
    <w:basedOn w:val="Normal"/>
    <w:next w:val="Normal"/>
    <w:link w:val="SubtitleChar"/>
    <w:uiPriority w:val="11"/>
    <w:qFormat/>
    <w:rPr>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wtkfUSWBjo/RR/CGX6zwH+tg==">CgMxLjA4AHIhMWZ1RU9oZ2k1NHZsMmZNSUJIYVRTWGtxSnNuX2wxYWFf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Metadata/LabelInfo.xml><?xml version="1.0" encoding="utf-8"?>
<clbl:labelList xmlns:clbl="http://schemas.microsoft.com/office/2020/mipLabelMetadata">
  <clbl:label id="{d465f887-04a9-4c17-8b62-103eddccf68b}" enabled="1" method="Standard" siteId="{ca2a7f76-dbd7-4ec0-9108-6b3d524fb7c8}" contentBits="2"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708</Words>
  <Characters>4036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Universiteit Leiden - ISSC</Company>
  <LinksUpToDate>false</LinksUpToDate>
  <CharactersWithSpaces>4735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Claveria, B.A. (Bianca Angelien)</dc:creator>
  <cp:lastModifiedBy>Claveria, B.A. (Bianca Angelien)</cp:lastModifiedBy>
  <cp:revision>9</cp:revision>
  <dcterms:created xsi:type="dcterms:W3CDTF">2025-10-30T15:18:00Z</dcterms:created>
  <dcterms:modified xsi:type="dcterms:W3CDTF">2026-01-05T05:07:00Z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60858a0a,5d4e01c,64730924</vt:lpwstr>
  </property>
  <property fmtid="{D5CDD505-2E9C-101B-9397-08002B2CF9AE}" pid="3" name="ClassificationContentMarkingFooterFontProps">
    <vt:lpwstr>#000000,10,Aptos</vt:lpwstr>
  </property>
  <property fmtid="{D5CDD505-2E9C-101B-9397-08002B2CF9AE}" pid="4" name="ClassificationContentMarkingFooterText">
    <vt:lpwstr>Classified as Internal | Intern</vt:lpwstr>
  </property>
  <property fmtid="{D5CDD505-2E9C-101B-9397-08002B2CF9AE}" pid="5" name="MSIP_Label_d465f887-04a9-4c17-8b62-103eddccf68b_Enabled">
    <vt:lpwstr>true</vt:lpwstr>
  </property>
  <property fmtid="{D5CDD505-2E9C-101B-9397-08002B2CF9AE}" pid="6" name="MSIP_Label_d465f887-04a9-4c17-8b62-103eddccf68b_SetDate">
    <vt:lpwstr>2025-10-30T15:18:58Z</vt:lpwstr>
  </property>
  <property fmtid="{D5CDD505-2E9C-101B-9397-08002B2CF9AE}" pid="7" name="MSIP_Label_d465f887-04a9-4c17-8b62-103eddccf68b_Method">
    <vt:lpwstr>Standard</vt:lpwstr>
  </property>
  <property fmtid="{D5CDD505-2E9C-101B-9397-08002B2CF9AE}" pid="8" name="MSIP_Label_d465f887-04a9-4c17-8b62-103eddccf68b_Name">
    <vt:lpwstr>Internal - Intern</vt:lpwstr>
  </property>
  <property fmtid="{D5CDD505-2E9C-101B-9397-08002B2CF9AE}" pid="9" name="MSIP_Label_d465f887-04a9-4c17-8b62-103eddccf68b_SiteId">
    <vt:lpwstr>ca2a7f76-dbd7-4ec0-9108-6b3d524fb7c8</vt:lpwstr>
  </property>
  <property fmtid="{D5CDD505-2E9C-101B-9397-08002B2CF9AE}" pid="10" name="MSIP_Label_d465f887-04a9-4c17-8b62-103eddccf68b_ActionId">
    <vt:lpwstr>8d4c20db-7b2d-4611-8715-973a00f60880</vt:lpwstr>
  </property>
  <property fmtid="{D5CDD505-2E9C-101B-9397-08002B2CF9AE}" pid="11" name="MSIP_Label_d465f887-04a9-4c17-8b62-103eddccf68b_ContentBits">
    <vt:lpwstr>2</vt:lpwstr>
  </property>
  <property fmtid="{D5CDD505-2E9C-101B-9397-08002B2CF9AE}" pid="12" name="MSIP_Label_d465f887-04a9-4c17-8b62-103eddccf68b_Tag">
    <vt:lpwstr>10, 3, 0, 2</vt:lpwstr>
  </property>
</Properties>
</file>