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AD0A" w14:textId="77777777" w:rsidR="00C53524" w:rsidRDefault="00C53524">
      <w:pPr>
        <w:rPr>
          <w:b/>
          <w:bCs/>
        </w:rPr>
      </w:pPr>
    </w:p>
    <w:p w14:paraId="0DDB47C1" w14:textId="77777777" w:rsidR="00C53524" w:rsidRDefault="00B47F6E">
      <w:pPr>
        <w:jc w:val="center"/>
        <w:rPr>
          <w:b/>
          <w:bCs/>
        </w:rPr>
      </w:pPr>
      <w:r>
        <w:rPr>
          <w:b/>
          <w:bCs/>
        </w:rPr>
        <w:t xml:space="preserve">EuroSEAS 2026 Roundtable Proposal </w:t>
      </w:r>
    </w:p>
    <w:p w14:paraId="305C78FA" w14:textId="77777777" w:rsidR="00C53524" w:rsidRDefault="00C53524">
      <w:pPr>
        <w:rPr>
          <w:b/>
          <w:bCs/>
        </w:rPr>
      </w:pPr>
    </w:p>
    <w:p w14:paraId="6699DBB2" w14:textId="77777777" w:rsidR="00C53524" w:rsidRDefault="00B47F6E">
      <w:pPr>
        <w:rPr>
          <w:b/>
          <w:bCs/>
        </w:rPr>
      </w:pPr>
      <w:r>
        <w:rPr>
          <w:b/>
          <w:bCs/>
        </w:rPr>
        <w:t>Title:</w:t>
      </w:r>
      <w:r>
        <w:rPr>
          <w:b/>
          <w:bCs/>
          <w:i/>
          <w:iCs/>
        </w:rPr>
        <w:t xml:space="preserve"> Engaging with War Ecologies in East and Southeast Asia: Science, Multispecies Relation, and Memory of Violence </w:t>
      </w:r>
    </w:p>
    <w:p w14:paraId="378E2371" w14:textId="77777777" w:rsidR="00C53524" w:rsidRDefault="00C53524">
      <w:pPr>
        <w:rPr>
          <w:b/>
          <w:bCs/>
          <w:i/>
          <w:iCs/>
        </w:rPr>
      </w:pPr>
    </w:p>
    <w:p w14:paraId="62F26F7B" w14:textId="77777777" w:rsidR="00C53524" w:rsidRDefault="00B47F6E">
      <w:pPr>
        <w:rPr>
          <w:b/>
          <w:bCs/>
        </w:rPr>
      </w:pPr>
      <w:r>
        <w:rPr>
          <w:b/>
          <w:bCs/>
        </w:rPr>
        <w:t xml:space="preserve">Convener: </w:t>
      </w:r>
    </w:p>
    <w:p w14:paraId="09AB9BD3" w14:textId="77777777" w:rsidR="00C53524" w:rsidRDefault="00C53524">
      <w:pPr>
        <w:rPr>
          <w:b/>
          <w:bCs/>
        </w:rPr>
      </w:pPr>
    </w:p>
    <w:p w14:paraId="1785B4D6" w14:textId="77777777" w:rsidR="00C53524" w:rsidRDefault="00B47F6E">
      <w:r>
        <w:t>Dr. Dat Nguyen</w:t>
      </w:r>
    </w:p>
    <w:p w14:paraId="7F773EA5" w14:textId="77777777" w:rsidR="00C53524" w:rsidRDefault="00B47F6E">
      <w:r>
        <w:t>NIOD Institute for War, Holocaust and Genocide Studies</w:t>
      </w:r>
    </w:p>
    <w:p w14:paraId="1CAB3608" w14:textId="77777777" w:rsidR="00C53524" w:rsidRDefault="00B47F6E">
      <w:r>
        <w:t xml:space="preserve">Royal Netherlands Academy of Arts and Sciences </w:t>
      </w:r>
    </w:p>
    <w:p w14:paraId="6F448E92" w14:textId="77777777" w:rsidR="00C53524" w:rsidRDefault="00C53524"/>
    <w:p w14:paraId="341E63B0" w14:textId="77777777" w:rsidR="00C53524" w:rsidRDefault="00B47F6E">
      <w:r>
        <w:rPr>
          <w:b/>
          <w:bCs/>
        </w:rPr>
        <w:t>Brief Description and Explanation of Chosen Format:</w:t>
      </w:r>
      <w:r>
        <w:t xml:space="preserve"> </w:t>
      </w:r>
    </w:p>
    <w:p w14:paraId="0CE3191A" w14:textId="77777777" w:rsidR="00C53524" w:rsidRDefault="00C53524">
      <w:pPr>
        <w:rPr>
          <w:b/>
          <w:bCs/>
          <w:i/>
          <w:iCs/>
        </w:rPr>
      </w:pPr>
    </w:p>
    <w:p w14:paraId="7F46BCD4" w14:textId="77777777" w:rsidR="00C53524" w:rsidRDefault="00B47F6E">
      <w:r>
        <w:t>Throughout the twentieth century, many countries in East and Southeast Asia experienced intense warfare. As destructive war technologies and weapons were developed and deployed in the region, they left behind long-lasting negative impacts on local ecologies, human health, communities’ livelihoods, and altered relations between humans and more-than-humans.</w:t>
      </w:r>
    </w:p>
    <w:p w14:paraId="57C70EAB" w14:textId="77777777" w:rsidR="00C53524" w:rsidRDefault="00C53524"/>
    <w:p w14:paraId="0A8AA77E" w14:textId="77777777" w:rsidR="00C53524" w:rsidRDefault="00B47F6E">
      <w:r>
        <w:t xml:space="preserve">In conjunction with the launch of a new special issue, “Warfare’s Ecologies: Toxic Legacies, Scientific Seductions, the Violence of Aftermaths”, in the journal </w:t>
      </w:r>
      <w:r>
        <w:rPr>
          <w:i/>
          <w:iCs/>
        </w:rPr>
        <w:t xml:space="preserve">War &amp; Society </w:t>
      </w:r>
      <w:r>
        <w:t>scheduled to be published in August 2026, this roundtable provides a comparative examination of the ecological consequences of warfare in East and Southeast Asia, particularly how states, non-governmental organisations, and local communities have addressed, experienced, and lived with war pollution. The editorial team of the special issue will first introduce the contributions of the special issue to the emerging interdisciplinary research on war ecologies, highlighting how the history of warf</w:t>
      </w:r>
      <w:r>
        <w:t xml:space="preserve">are and violence in East and Southeast Asia played an important role in shaping and giving rise to international awareness on ecocide and the transnational ecological impacts of modern warfare. Four contributors to the special issue will then briefly discuss their case studies, including the transgenerational health impact of Agent Orange on local Vietnamese population, the bilateral US-Vietnam efforts to remediate Agent Orange contaminated sites, the mobilisation of mice in landmine detection in Cambodia, </w:t>
      </w:r>
      <w:r>
        <w:t xml:space="preserve">and the transformation of a secret weapon production site into a tourism site in Japan featuring cute bunnies. </w:t>
      </w:r>
    </w:p>
    <w:p w14:paraId="0448396F" w14:textId="77777777" w:rsidR="00C53524" w:rsidRDefault="00C53524"/>
    <w:p w14:paraId="61D014B0" w14:textId="77777777" w:rsidR="00C53524" w:rsidRDefault="00B47F6E">
      <w:r>
        <w:t>The roundtable format is chosen to facilitate active conversations and exchanges across the contributors of the special issue, as well as between these contributors and the audience. It allows the contributors to share with the audience how the project came about, the writing process, and also how the special issue contributes to a larger scholarly conversation. The questions from and active exchanges with the audience will also help the contributors further sharpen their thinking and analyses, as they cont</w:t>
      </w:r>
      <w:r>
        <w:t xml:space="preserve">inue to develop their future collective research work. </w:t>
      </w:r>
    </w:p>
    <w:p w14:paraId="06B69B14" w14:textId="77777777" w:rsidR="00C53524" w:rsidRDefault="00C53524"/>
    <w:p w14:paraId="2667FA66" w14:textId="77777777" w:rsidR="00C53524" w:rsidRDefault="00B47F6E">
      <w:pPr>
        <w:rPr>
          <w:b/>
          <w:bCs/>
        </w:rPr>
      </w:pPr>
      <w:r>
        <w:rPr>
          <w:b/>
          <w:bCs/>
        </w:rPr>
        <w:t xml:space="preserve">Urgency of the Topic: </w:t>
      </w:r>
    </w:p>
    <w:p w14:paraId="7DFDF45E" w14:textId="77777777" w:rsidR="00C53524" w:rsidRDefault="00C53524">
      <w:pPr>
        <w:rPr>
          <w:b/>
          <w:bCs/>
        </w:rPr>
      </w:pPr>
    </w:p>
    <w:p w14:paraId="1294A7C6" w14:textId="77777777" w:rsidR="00C53524" w:rsidRDefault="00B47F6E">
      <w:r>
        <w:t>In recent years, with the various wars, conflicts, and genocidal violence across the world, the ecological impacts of warfare and conflicts have come to the forefront of scholarly and public attention. The roundtable and the accompanying special issue bring knowledge, experiences, and dilemmas from East and Southeast Asia to these important discussions and debates. As a region whose experiences of warfare and conflicts in the course of the twentieth century have continued to shape geopolitical relations acr</w:t>
      </w:r>
      <w:r>
        <w:t xml:space="preserve">oss many nation-states, how East and Southeast Asian states and local communities have addressed issues of war contamination and pollution provides important </w:t>
      </w:r>
      <w:r>
        <w:lastRenderedPageBreak/>
        <w:t>lessons for contemporary global discussions on wars’ ecological consequences. Moreover, the comparative discussions across various cases in this roundtable highlight how these ecological impacts are not limited to national borders; rather, they travel across different national contexts, ecologies, and living communities. These transnational entanglemen</w:t>
      </w:r>
      <w:r>
        <w:t xml:space="preserve">ts need to be better understood. </w:t>
      </w:r>
    </w:p>
    <w:p w14:paraId="6BF50083" w14:textId="77777777" w:rsidR="00C53524" w:rsidRDefault="00C53524"/>
    <w:p w14:paraId="31219A86" w14:textId="77777777" w:rsidR="00C53524" w:rsidRDefault="00C53524">
      <w:pPr>
        <w:rPr>
          <w:b/>
          <w:bCs/>
        </w:rPr>
      </w:pPr>
    </w:p>
    <w:p w14:paraId="7131E71C" w14:textId="77777777" w:rsidR="00C53524" w:rsidRDefault="00B47F6E">
      <w:pPr>
        <w:rPr>
          <w:b/>
          <w:bCs/>
        </w:rPr>
      </w:pPr>
      <w:r>
        <w:rPr>
          <w:b/>
          <w:bCs/>
        </w:rPr>
        <w:t>List of Roundtable Discussants:</w:t>
      </w:r>
    </w:p>
    <w:p w14:paraId="227C149C" w14:textId="77777777" w:rsidR="00C53524" w:rsidRDefault="00C53524">
      <w:pPr>
        <w:rPr>
          <w:b/>
          <w:bCs/>
        </w:rPr>
      </w:pPr>
    </w:p>
    <w:p w14:paraId="0D2F6CD5" w14:textId="77777777" w:rsidR="00C53524" w:rsidRDefault="00B47F6E">
      <w:pPr>
        <w:rPr>
          <w:i/>
          <w:iCs/>
        </w:rPr>
      </w:pPr>
      <w:r>
        <w:rPr>
          <w:i/>
          <w:iCs/>
        </w:rPr>
        <w:t>Alphabetical Order by Last Name</w:t>
      </w:r>
    </w:p>
    <w:p w14:paraId="6F6ED7C8" w14:textId="77777777" w:rsidR="00C53524" w:rsidRDefault="00C53524">
      <w:pPr>
        <w:rPr>
          <w:b/>
          <w:bCs/>
        </w:rPr>
      </w:pPr>
    </w:p>
    <w:p w14:paraId="0A58FA89" w14:textId="77777777" w:rsidR="00C53524" w:rsidRDefault="00B47F6E">
      <w:pPr>
        <w:rPr>
          <w:i/>
          <w:iCs/>
        </w:rPr>
      </w:pPr>
      <w:r>
        <w:rPr>
          <w:i/>
          <w:iCs/>
        </w:rPr>
        <w:t>Dr. Huong Bui (Ritsumeikan Asia Pacific University, Japan)</w:t>
      </w:r>
    </w:p>
    <w:p w14:paraId="12901C62" w14:textId="77777777" w:rsidR="00C53524" w:rsidRDefault="00B47F6E">
      <w:r>
        <w:t>Areas of Specialty: Tourism, memory studies, war and violence, sustainability and resilience, Japan, Vietnam</w:t>
      </w:r>
    </w:p>
    <w:p w14:paraId="3D9DA16F" w14:textId="77777777" w:rsidR="00C53524" w:rsidRDefault="00C53524"/>
    <w:p w14:paraId="63470440" w14:textId="77777777" w:rsidR="00C53524" w:rsidRDefault="00B47F6E">
      <w:pPr>
        <w:rPr>
          <w:i/>
          <w:iCs/>
        </w:rPr>
      </w:pPr>
      <w:r>
        <w:rPr>
          <w:i/>
          <w:iCs/>
        </w:rPr>
        <w:t>Dr. Darcie DeAngelo (University of Alberta, Canada)</w:t>
      </w:r>
    </w:p>
    <w:p w14:paraId="367AFECA" w14:textId="77777777" w:rsidR="00C53524" w:rsidRDefault="00B47F6E">
      <w:r>
        <w:t xml:space="preserve">Areas of Speciality: Human-nonhuman relations, landmine detection, environmental and medical anthropology, Cambodia </w:t>
      </w:r>
    </w:p>
    <w:p w14:paraId="278D68AC" w14:textId="77777777" w:rsidR="00C53524" w:rsidRDefault="00C53524"/>
    <w:p w14:paraId="76F5476D" w14:textId="77777777" w:rsidR="00C53524" w:rsidRDefault="00B47F6E">
      <w:r>
        <w:rPr>
          <w:i/>
          <w:iCs/>
        </w:rPr>
        <w:t>Dr. David Henig (Utrecht University, the Netherlands)</w:t>
      </w:r>
      <w:r>
        <w:t xml:space="preserve"> </w:t>
      </w:r>
    </w:p>
    <w:p w14:paraId="3AC22299" w14:textId="77777777" w:rsidR="00C53524" w:rsidRDefault="00B47F6E">
      <w:r>
        <w:t xml:space="preserve">Areas of Speciality: War ecologies, explosive war remnants, religion, geopolitics, Eastern Europe and West Asia </w:t>
      </w:r>
    </w:p>
    <w:p w14:paraId="44B6271E" w14:textId="77777777" w:rsidR="00C53524" w:rsidRDefault="00C53524"/>
    <w:p w14:paraId="1B077414" w14:textId="77777777" w:rsidR="00C53524" w:rsidRDefault="00B47F6E">
      <w:pPr>
        <w:rPr>
          <w:i/>
          <w:iCs/>
        </w:rPr>
      </w:pPr>
      <w:r>
        <w:rPr>
          <w:i/>
          <w:iCs/>
        </w:rPr>
        <w:t>Dr. Ken MacLean (Clark University, US)</w:t>
      </w:r>
    </w:p>
    <w:p w14:paraId="07FCF65D" w14:textId="77777777" w:rsidR="00C53524" w:rsidRDefault="00B47F6E">
      <w:r>
        <w:t>Areas of Speciality: State-sponsored violence, forced migration, humanitarianism, climate and conflicts, Myanmar, Vietnam, Cambodia, Southeast Asia</w:t>
      </w:r>
    </w:p>
    <w:p w14:paraId="0E841220" w14:textId="77777777" w:rsidR="00C53524" w:rsidRDefault="00C53524"/>
    <w:p w14:paraId="7BB7FBE9" w14:textId="77777777" w:rsidR="00C53524" w:rsidRDefault="00B47F6E">
      <w:pPr>
        <w:rPr>
          <w:i/>
          <w:iCs/>
        </w:rPr>
      </w:pPr>
      <w:r>
        <w:rPr>
          <w:i/>
          <w:iCs/>
        </w:rPr>
        <w:t>Dr. Tam Ngo (NIOD, the Netherlands)</w:t>
      </w:r>
    </w:p>
    <w:p w14:paraId="5C4812E1" w14:textId="77777777" w:rsidR="00C53524" w:rsidRDefault="00B47F6E">
      <w:r>
        <w:t>Areas of Speciality: Religion, science, social healing, environmental reparation, reconciliation, Vietnam, East and Southeast Asia</w:t>
      </w:r>
    </w:p>
    <w:p w14:paraId="540917AE" w14:textId="77777777" w:rsidR="00C53524" w:rsidRDefault="00C53524"/>
    <w:p w14:paraId="7BDE5529" w14:textId="77777777" w:rsidR="00C53524" w:rsidRDefault="00B47F6E">
      <w:pPr>
        <w:rPr>
          <w:i/>
          <w:iCs/>
        </w:rPr>
      </w:pPr>
      <w:r>
        <w:rPr>
          <w:i/>
          <w:iCs/>
        </w:rPr>
        <w:t>Dr. Dat Nguyen (NIOD, the Netherlands)</w:t>
      </w:r>
    </w:p>
    <w:p w14:paraId="1B75F5C4" w14:textId="77777777" w:rsidR="00C53524" w:rsidRDefault="00B47F6E">
      <w:r>
        <w:t xml:space="preserve">Areas of Speciality: </w:t>
      </w:r>
      <w:r>
        <w:t xml:space="preserve">Religion, war ecologies, postwar care and regeneration, traumas, politics of memory, Vietnam, Southeast Asia </w:t>
      </w:r>
    </w:p>
    <w:p w14:paraId="17621B06" w14:textId="77777777" w:rsidR="00C53524" w:rsidRDefault="00C53524">
      <w:pPr>
        <w:rPr>
          <w:b/>
          <w:bCs/>
        </w:rPr>
      </w:pPr>
    </w:p>
    <w:p w14:paraId="29B37F36" w14:textId="77777777" w:rsidR="00C53524" w:rsidRDefault="00C53524">
      <w:pPr>
        <w:rPr>
          <w:b/>
          <w:bCs/>
        </w:rPr>
      </w:pPr>
    </w:p>
    <w:p w14:paraId="6623FFC6" w14:textId="77777777" w:rsidR="00C53524" w:rsidRDefault="00C53524">
      <w:pPr>
        <w:rPr>
          <w:b/>
          <w:bCs/>
        </w:rPr>
      </w:pPr>
    </w:p>
    <w:p w14:paraId="0E1841E0" w14:textId="77777777" w:rsidR="00C53524" w:rsidRDefault="00C53524">
      <w:pPr>
        <w:rPr>
          <w:b/>
          <w:bCs/>
        </w:rPr>
      </w:pPr>
    </w:p>
    <w:p w14:paraId="53A3D3EA" w14:textId="77777777" w:rsidR="00C53524" w:rsidRDefault="00C53524"/>
    <w:p w14:paraId="4F0591EC" w14:textId="77777777" w:rsidR="00C53524" w:rsidRDefault="00C53524"/>
    <w:p w14:paraId="23BBE360" w14:textId="77777777" w:rsidR="00C53524" w:rsidRDefault="00C53524"/>
    <w:p w14:paraId="7A0EAF24" w14:textId="77777777" w:rsidR="00C53524" w:rsidRDefault="00C53524"/>
    <w:p w14:paraId="2061ED0B" w14:textId="77777777" w:rsidR="00C53524" w:rsidRDefault="00C53524"/>
    <w:p w14:paraId="67CF874D" w14:textId="77777777" w:rsidR="00C53524" w:rsidRDefault="00C53524"/>
    <w:p w14:paraId="1F8679AE" w14:textId="77777777" w:rsidR="00C53524" w:rsidRDefault="00C53524"/>
    <w:p w14:paraId="04F6C07C" w14:textId="77777777" w:rsidR="00C53524" w:rsidRDefault="00C53524"/>
    <w:p w14:paraId="09431856" w14:textId="77777777" w:rsidR="00C53524" w:rsidRDefault="00C53524"/>
    <w:p w14:paraId="6E095310" w14:textId="77777777" w:rsidR="00C53524" w:rsidRDefault="00C53524"/>
    <w:p w14:paraId="76C47303" w14:textId="77777777" w:rsidR="00C53524" w:rsidRDefault="00C53524"/>
    <w:sectPr w:rsidR="00C53524">
      <w:footerReference w:type="even" r:id="rId6"/>
      <w:footerReference w:type="default" r:id="rId7"/>
      <w:footerReference w:type="first" r:id="rId8"/>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E7B5" w14:textId="77777777" w:rsidR="00B47F6E" w:rsidRDefault="00B47F6E">
      <w:r>
        <w:separator/>
      </w:r>
    </w:p>
  </w:endnote>
  <w:endnote w:type="continuationSeparator" w:id="0">
    <w:p w14:paraId="62B4467F" w14:textId="77777777" w:rsidR="00B47F6E" w:rsidRDefault="00B4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C774" w14:textId="2B09F536" w:rsidR="00B47F6E" w:rsidRDefault="00B47F6E">
    <w:pPr>
      <w:pStyle w:val="Footer"/>
    </w:pPr>
    <w:r>
      <w:rPr>
        <w:noProof/>
      </w:rPr>
      <mc:AlternateContent>
        <mc:Choice Requires="wps">
          <w:drawing>
            <wp:anchor distT="0" distB="0" distL="0" distR="0" simplePos="0" relativeHeight="251659264" behindDoc="0" locked="0" layoutInCell="1" allowOverlap="1" wp14:anchorId="3810E3D9" wp14:editId="5B9B7FC4">
              <wp:simplePos x="635" y="635"/>
              <wp:positionH relativeFrom="page">
                <wp:align>left</wp:align>
              </wp:positionH>
              <wp:positionV relativeFrom="page">
                <wp:align>bottom</wp:align>
              </wp:positionV>
              <wp:extent cx="1814830" cy="345440"/>
              <wp:effectExtent l="0" t="0" r="13970" b="0"/>
              <wp:wrapNone/>
              <wp:docPr id="1998305128"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7B3B487E" w14:textId="2C590602" w:rsidR="00B47F6E" w:rsidRPr="00B47F6E" w:rsidRDefault="00B47F6E" w:rsidP="00B47F6E">
                          <w:pPr>
                            <w:rPr>
                              <w:rFonts w:ascii="Aptos" w:eastAsia="Aptos" w:hAnsi="Aptos" w:cs="Aptos"/>
                              <w:noProof/>
                              <w:color w:val="000000"/>
                              <w:sz w:val="20"/>
                              <w:szCs w:val="20"/>
                            </w:rPr>
                          </w:pPr>
                          <w:r w:rsidRPr="00B47F6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10E3D9"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" filled="f" stroked="f">
              <v:fill o:detectmouseclick="t"/>
              <v:textbox style="mso-fit-shape-to-text:t" inset="20pt,0,0,15pt">
                <w:txbxContent>
                  <w:p w14:paraId="7B3B487E" w14:textId="2C590602" w:rsidR="00B47F6E" w:rsidRPr="00B47F6E" w:rsidRDefault="00B47F6E" w:rsidP="00B47F6E">
                    <w:pPr>
                      <w:rPr>
                        <w:rFonts w:ascii="Aptos" w:eastAsia="Aptos" w:hAnsi="Aptos" w:cs="Aptos"/>
                        <w:noProof/>
                        <w:color w:val="000000"/>
                        <w:sz w:val="20"/>
                        <w:szCs w:val="20"/>
                      </w:rPr>
                    </w:pPr>
                    <w:r w:rsidRPr="00B47F6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6A6D" w14:textId="3A5890C9" w:rsidR="00C53524" w:rsidRDefault="00B47F6E">
    <w:pPr>
      <w:pStyle w:val="Footer"/>
      <w:jc w:val="right"/>
    </w:pPr>
    <w:r>
      <w:rPr>
        <w:noProof/>
      </w:rPr>
      <mc:AlternateContent>
        <mc:Choice Requires="wps">
          <w:drawing>
            <wp:anchor distT="0" distB="0" distL="0" distR="0" simplePos="0" relativeHeight="251660288" behindDoc="0" locked="0" layoutInCell="1" allowOverlap="1" wp14:anchorId="72B7548B" wp14:editId="49ACB68C">
              <wp:simplePos x="723900" y="9799320"/>
              <wp:positionH relativeFrom="page">
                <wp:align>left</wp:align>
              </wp:positionH>
              <wp:positionV relativeFrom="page">
                <wp:align>bottom</wp:align>
              </wp:positionV>
              <wp:extent cx="1814830" cy="345440"/>
              <wp:effectExtent l="0" t="0" r="13970" b="0"/>
              <wp:wrapNone/>
              <wp:docPr id="1700359829"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24882759" w14:textId="165A3F86" w:rsidR="00B47F6E" w:rsidRPr="00B47F6E" w:rsidRDefault="00B47F6E" w:rsidP="00B47F6E">
                          <w:pPr>
                            <w:rPr>
                              <w:rFonts w:ascii="Aptos" w:eastAsia="Aptos" w:hAnsi="Aptos" w:cs="Aptos"/>
                              <w:noProof/>
                              <w:color w:val="000000"/>
                              <w:sz w:val="20"/>
                              <w:szCs w:val="20"/>
                            </w:rPr>
                          </w:pPr>
                          <w:r w:rsidRPr="00B47F6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B7548B" id="_x0000_t202" coordsize="21600,21600" o:spt="202" path="m,l,21600r21600,l21600,xe">
              <v:stroke joinstyle="miter"/>
              <v:path gradientshapeok="t" o:connecttype="rect"/>
            </v:shapetype>
            <v:shape id="Text Box 3" o:spid="_x0000_s1027" type="#_x0000_t202" alt="Classified as Internal | Intern" style="position:absolute;left:0;text-align:left;margin-left:0;margin-top:0;width:142.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" filled="f" stroked="f">
              <v:fill o:detectmouseclick="t"/>
              <v:textbox style="mso-fit-shape-to-text:t" inset="20pt,0,0,15pt">
                <w:txbxContent>
                  <w:p w14:paraId="24882759" w14:textId="165A3F86" w:rsidR="00B47F6E" w:rsidRPr="00B47F6E" w:rsidRDefault="00B47F6E" w:rsidP="00B47F6E">
                    <w:pPr>
                      <w:rPr>
                        <w:rFonts w:ascii="Aptos" w:eastAsia="Aptos" w:hAnsi="Aptos" w:cs="Aptos"/>
                        <w:noProof/>
                        <w:color w:val="000000"/>
                        <w:sz w:val="20"/>
                        <w:szCs w:val="20"/>
                      </w:rPr>
                    </w:pPr>
                    <w:r w:rsidRPr="00B47F6E">
                      <w:rPr>
                        <w:rFonts w:ascii="Aptos" w:eastAsia="Aptos" w:hAnsi="Aptos" w:cs="Aptos"/>
                        <w:noProof/>
                        <w:color w:val="000000"/>
                        <w:sz w:val="20"/>
                        <w:szCs w:val="20"/>
                      </w:rPr>
                      <w:t>Classified as Internal | Intern</w:t>
                    </w:r>
                  </w:p>
                </w:txbxContent>
              </v:textbox>
              <w10:wrap anchorx="page" anchory="page"/>
            </v:shape>
          </w:pict>
        </mc:Fallback>
      </mc:AlternateContent>
    </w: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4E9C" w14:textId="00E4DEFC" w:rsidR="00B47F6E" w:rsidRDefault="00B47F6E">
    <w:pPr>
      <w:pStyle w:val="Footer"/>
    </w:pPr>
    <w:r>
      <w:rPr>
        <w:noProof/>
      </w:rPr>
      <mc:AlternateContent>
        <mc:Choice Requires="wps">
          <w:drawing>
            <wp:anchor distT="0" distB="0" distL="0" distR="0" simplePos="0" relativeHeight="251658240" behindDoc="0" locked="0" layoutInCell="1" allowOverlap="1" wp14:anchorId="674B232A" wp14:editId="259B7E2D">
              <wp:simplePos x="635" y="635"/>
              <wp:positionH relativeFrom="page">
                <wp:align>left</wp:align>
              </wp:positionH>
              <wp:positionV relativeFrom="page">
                <wp:align>bottom</wp:align>
              </wp:positionV>
              <wp:extent cx="1814830" cy="345440"/>
              <wp:effectExtent l="0" t="0" r="13970" b="0"/>
              <wp:wrapNone/>
              <wp:docPr id="2127753071"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4D6CF98F" w14:textId="68AEB033" w:rsidR="00B47F6E" w:rsidRPr="00B47F6E" w:rsidRDefault="00B47F6E" w:rsidP="00B47F6E">
                          <w:pPr>
                            <w:rPr>
                              <w:rFonts w:ascii="Aptos" w:eastAsia="Aptos" w:hAnsi="Aptos" w:cs="Aptos"/>
                              <w:noProof/>
                              <w:color w:val="000000"/>
                              <w:sz w:val="20"/>
                              <w:szCs w:val="20"/>
                            </w:rPr>
                          </w:pPr>
                          <w:r w:rsidRPr="00B47F6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B232A"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" filled="f" stroked="f">
              <v:fill o:detectmouseclick="t"/>
              <v:textbox style="mso-fit-shape-to-text:t" inset="20pt,0,0,15pt">
                <w:txbxContent>
                  <w:p w14:paraId="4D6CF98F" w14:textId="68AEB033" w:rsidR="00B47F6E" w:rsidRPr="00B47F6E" w:rsidRDefault="00B47F6E" w:rsidP="00B47F6E">
                    <w:pPr>
                      <w:rPr>
                        <w:rFonts w:ascii="Aptos" w:eastAsia="Aptos" w:hAnsi="Aptos" w:cs="Aptos"/>
                        <w:noProof/>
                        <w:color w:val="000000"/>
                        <w:sz w:val="20"/>
                        <w:szCs w:val="20"/>
                      </w:rPr>
                    </w:pPr>
                    <w:r w:rsidRPr="00B47F6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B109" w14:textId="77777777" w:rsidR="00B47F6E" w:rsidRDefault="00B47F6E">
      <w:r>
        <w:separator/>
      </w:r>
    </w:p>
  </w:footnote>
  <w:footnote w:type="continuationSeparator" w:id="0">
    <w:p w14:paraId="204A87D1" w14:textId="77777777" w:rsidR="00B47F6E" w:rsidRDefault="00B47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3524"/>
    <w:rsid w:val="007A25E0"/>
    <w:rsid w:val="00B47F6E"/>
    <w:rsid w:val="00C5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71A"/>
  <w15:docId w15:val="{75C78B4A-D108-47DD-BA4E-E6D80D80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ongti SC" w:hAnsi="Times New Roman"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eastAsia="Arial Unicode M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4</DocSecurity>
  <Lines>33</Lines>
  <Paragraphs>9</Paragraphs>
  <ScaleCrop>false</ScaleCrop>
  <Company>Universiteit Leiden - ISSC</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Siegers, S.R. (Yayah)</dc:creator>
  <dc:description/>
  <cp:lastModifiedBy>Siegers, S.R. (Yayah)</cp:lastModifiedBy>
  <cp:revision>2</cp:revision>
  <dcterms:created xsi:type="dcterms:W3CDTF">2025-12-01T23:18:00Z</dcterms:created>
  <dcterms:modified xsi:type="dcterms:W3CDTF">2025-12-01T23:18:00Z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7ed2ef6f,771bb768,65596e95</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