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EuroSEAS 2026 Panel Proposal</w:t>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6"/>
          <w:szCs w:val="26"/>
          <w:rtl w:val="0"/>
        </w:rPr>
        <w:t xml:space="preserve">Embodied Devotion and Gendered Labor: Ritual, Healing, and the Arts in Thai Buddhism and Beliefs</w:t>
      </w: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Convener</w:t>
      </w:r>
    </w:p>
    <w:p w:rsidR="00000000" w:rsidDel="00000000" w:rsidP="00000000" w:rsidRDefault="00000000" w:rsidRPr="00000000" w14:paraId="0000000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Chawarote Valyamedhi</w:t>
      </w:r>
      <w:r w:rsidDel="00000000" w:rsidR="00000000" w:rsidRPr="00000000">
        <w:rPr>
          <w:rFonts w:ascii="Times New Roman" w:cs="Times New Roman" w:eastAsia="Times New Roman" w:hAnsi="Times New Roman"/>
          <w:color w:val="000000"/>
          <w:rtl w:val="0"/>
        </w:rPr>
        <w:br w:type="textWrapping"/>
        <w:t xml:space="preserve">Assistant Professor, Department of Southeast Asian Languages and Cultures</w:t>
        <w:br w:type="textWrapping"/>
        <w:t xml:space="preserve">National Chengchi University, Taiwan</w:t>
        <w:br w:type="textWrapping"/>
        <w:t xml:space="preserve">c.valy@nccu.edu.tw</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Format and Rationale</w:t>
      </w:r>
    </w:p>
    <w:p w:rsidR="00000000" w:rsidDel="00000000" w:rsidP="00000000" w:rsidRDefault="00000000" w:rsidRPr="00000000" w14:paraId="00000006">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Panel Type:</w:t>
      </w:r>
      <w:r w:rsidDel="00000000" w:rsidR="00000000" w:rsidRPr="00000000">
        <w:rPr>
          <w:rFonts w:ascii="Times New Roman" w:cs="Times New Roman" w:eastAsia="Times New Roman" w:hAnsi="Times New Roman"/>
          <w:color w:val="000000"/>
          <w:rtl w:val="0"/>
        </w:rPr>
        <w:t xml:space="preserve"> Classical Panel (Single Session, 90 minutes; 5 presenters + 1 discussant)</w:t>
      </w:r>
    </w:p>
    <w:p w:rsidR="00000000" w:rsidDel="00000000" w:rsidP="00000000" w:rsidRDefault="00000000" w:rsidRPr="00000000" w14:paraId="00000007">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panel adopts the classical format to encourage comparative dialogue on embodiment, gender, and ritual performance across Buddhist Southeast Asia. The papers collectively examine how the body functions as a site of devotion, healing, and cultural production — ranging from women’s ritual labor in Southern Thailand to healing arts, spirit mediumship, and transnational Buddhist networks in Northern Thailand and beyond.</w:t>
      </w:r>
    </w:p>
    <w:p w:rsidR="00000000" w:rsidDel="00000000" w:rsidP="00000000" w:rsidRDefault="00000000" w:rsidRPr="00000000" w14:paraId="00000008">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ensure diverse representation, the panel brings together scholars from France, Japan, Taiwan, and Thailand, spanning disciplines of anthropology, performance studies, religious studies, and art history. This geographical and institutional variety reflects EuroSEAS’s commitment to inclusivity and cross-regional research collaboration. The classical panel format allows for four to five concise presentations and an integrative discussion led by the discussant, fostering dialogue between ethnographic observation and theoretical reflection on ritual embodiment, gender, and Buddhist modernities.</w:t>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Panel Abstract and Theoretical Frameworks</w:t>
      </w:r>
    </w:p>
    <w:p w:rsidR="00000000" w:rsidDel="00000000" w:rsidP="00000000" w:rsidRDefault="00000000" w:rsidRPr="00000000" w14:paraId="0000000A">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panel explores how Buddhist ritual, gendered labor, and artistic practice converge in Southeast Asia’s living religious landscapes. Focusing on Thailand’s northern and southern regions, the papers examine how lay practitioners, healers, monks, and women’s communities perform the sacred through bodily discipline, craft, and affective devotion — transforming everyday work into ritual art. Drawing on ethnographic and historical approaches, the panel highlights how ritual action materializes Buddhist virtue, how women’s devotional labor sustains community merit-making, and how traditional healing arts are reframed as cultural heritage in contemporary Thailand.</w:t>
      </w:r>
    </w:p>
    <w:p w:rsidR="00000000" w:rsidDel="00000000" w:rsidP="00000000" w:rsidRDefault="00000000" w:rsidRPr="00000000" w14:paraId="0000000B">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discussion is grounded in three complementary theoretical perspectives: Judith Butler’s concept of performativity, Stanley Tambiah’s performative approach to ritual, and Pierre Bourdieu’s theory of cultural capital. Following Butler (</w:t>
      </w:r>
      <w:r w:rsidDel="00000000" w:rsidR="00000000" w:rsidRPr="00000000">
        <w:rPr>
          <w:rFonts w:ascii="Times New Roman" w:cs="Times New Roman" w:eastAsia="Times New Roman" w:hAnsi="Times New Roman"/>
          <w:i w:val="1"/>
          <w:iCs w:val="1"/>
          <w:color w:val="000000"/>
          <w:rtl w:val="0"/>
        </w:rPr>
        <w:t xml:space="preserve">Gender Trouble</w:t>
      </w:r>
      <w:r w:rsidDel="00000000" w:rsidR="00000000" w:rsidRPr="00000000">
        <w:rPr>
          <w:rFonts w:ascii="Times New Roman" w:cs="Times New Roman" w:eastAsia="Times New Roman" w:hAnsi="Times New Roman"/>
          <w:color w:val="000000"/>
          <w:rtl w:val="0"/>
        </w:rPr>
        <w:t xml:space="preserve">, 1990; </w:t>
      </w:r>
      <w:r w:rsidDel="00000000" w:rsidR="00000000" w:rsidRPr="00000000">
        <w:rPr>
          <w:rFonts w:ascii="Times New Roman" w:cs="Times New Roman" w:eastAsia="Times New Roman" w:hAnsi="Times New Roman"/>
          <w:i w:val="1"/>
          <w:iCs w:val="1"/>
          <w:color w:val="000000"/>
          <w:rtl w:val="0"/>
        </w:rPr>
        <w:t xml:space="preserve">Bodies That Matter</w:t>
      </w:r>
      <w:r w:rsidDel="00000000" w:rsidR="00000000" w:rsidRPr="00000000">
        <w:rPr>
          <w:rFonts w:ascii="Times New Roman" w:cs="Times New Roman" w:eastAsia="Times New Roman" w:hAnsi="Times New Roman"/>
          <w:color w:val="000000"/>
          <w:rtl w:val="0"/>
        </w:rPr>
        <w:t xml:space="preserve">, 1993), gender is understood not as a stable identity but as a process enacted through repeated bodily and ritual acts. In the </w:t>
      </w:r>
      <w:r w:rsidDel="00000000" w:rsidR="00000000" w:rsidRPr="00000000">
        <w:rPr>
          <w:rFonts w:ascii="Times New Roman" w:cs="Times New Roman" w:eastAsia="Times New Roman" w:hAnsi="Times New Roman"/>
          <w:i w:val="1"/>
          <w:iCs w:val="1"/>
          <w:color w:val="000000"/>
          <w:rtl w:val="0"/>
        </w:rPr>
        <w:t xml:space="preserve">Laak Phra</w:t>
      </w:r>
      <w:r w:rsidDel="00000000" w:rsidR="00000000" w:rsidRPr="00000000">
        <w:rPr>
          <w:rFonts w:ascii="Times New Roman" w:cs="Times New Roman" w:eastAsia="Times New Roman" w:hAnsi="Times New Roman"/>
          <w:color w:val="000000"/>
          <w:rtl w:val="0"/>
        </w:rPr>
        <w:t xml:space="preserve"> festival of Nakhon Si Thammarat, the naming of Buddha images as female (</w:t>
      </w:r>
      <w:r w:rsidDel="00000000" w:rsidR="00000000" w:rsidRPr="00000000">
        <w:rPr>
          <w:rFonts w:ascii="Times New Roman" w:cs="Times New Roman" w:eastAsia="Times New Roman" w:hAnsi="Times New Roman"/>
          <w:i w:val="1"/>
          <w:iCs w:val="1"/>
          <w:color w:val="000000"/>
          <w:rtl w:val="0"/>
        </w:rPr>
        <w:t xml:space="preserve">Phra Mae</w:t>
      </w:r>
      <w:r w:rsidDel="00000000" w:rsidR="00000000" w:rsidRPr="00000000">
        <w:rPr>
          <w:rFonts w:ascii="Times New Roman" w:cs="Times New Roman" w:eastAsia="Times New Roman" w:hAnsi="Times New Roman"/>
          <w:color w:val="000000"/>
          <w:rtl w:val="0"/>
        </w:rPr>
        <w:t xml:space="preserve">) and women’s collective labor in making ritual sweets constitute performative acts that reproduce and reconfigure gendered piety within a communal frame. Many of these women explicitly state that they make sweets </w:t>
      </w:r>
      <w:r w:rsidDel="00000000" w:rsidR="00000000" w:rsidRPr="00000000">
        <w:rPr>
          <w:rFonts w:ascii="Times New Roman" w:cs="Times New Roman" w:eastAsia="Times New Roman" w:hAnsi="Times New Roman"/>
          <w:i w:val="1"/>
          <w:iCs w:val="1"/>
          <w:color w:val="000000"/>
          <w:rtl w:val="0"/>
        </w:rPr>
        <w:t xml:space="preserve">because they are women</w:t>
      </w:r>
      <w:r w:rsidDel="00000000" w:rsidR="00000000" w:rsidRPr="00000000">
        <w:rPr>
          <w:rFonts w:ascii="Times New Roman" w:cs="Times New Roman" w:eastAsia="Times New Roman" w:hAnsi="Times New Roman"/>
          <w:color w:val="000000"/>
          <w:rtl w:val="0"/>
        </w:rPr>
        <w:t xml:space="preserve">, revealing gender not as an imposed role but as a felt moral habitus in Bourdieu’s sense — an embodied disposition shaped by Buddhist notions of merit and care.</w:t>
      </w:r>
    </w:p>
    <w:p w:rsidR="00000000" w:rsidDel="00000000" w:rsidP="00000000" w:rsidRDefault="00000000" w:rsidRPr="00000000" w14:paraId="0000000C">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Tambiah’s terms (</w:t>
      </w:r>
      <w:r w:rsidDel="00000000" w:rsidR="00000000" w:rsidRPr="00000000">
        <w:rPr>
          <w:rFonts w:ascii="Times New Roman" w:cs="Times New Roman" w:eastAsia="Times New Roman" w:hAnsi="Times New Roman"/>
          <w:i w:val="1"/>
          <w:iCs w:val="1"/>
          <w:color w:val="000000"/>
          <w:rtl w:val="0"/>
        </w:rPr>
        <w:t xml:space="preserve">A Performative Approach to Ritual</w:t>
      </w:r>
      <w:r w:rsidDel="00000000" w:rsidR="00000000" w:rsidRPr="00000000">
        <w:rPr>
          <w:rFonts w:ascii="Times New Roman" w:cs="Times New Roman" w:eastAsia="Times New Roman" w:hAnsi="Times New Roman"/>
          <w:color w:val="000000"/>
          <w:rtl w:val="0"/>
        </w:rPr>
        <w:t xml:space="preserve">, 1979; </w:t>
      </w:r>
      <w:r w:rsidDel="00000000" w:rsidR="00000000" w:rsidRPr="00000000">
        <w:rPr>
          <w:rFonts w:ascii="Times New Roman" w:cs="Times New Roman" w:eastAsia="Times New Roman" w:hAnsi="Times New Roman"/>
          <w:i w:val="1"/>
          <w:iCs w:val="1"/>
          <w:color w:val="000000"/>
          <w:rtl w:val="0"/>
        </w:rPr>
        <w:t xml:space="preserve">The Buddhist Saints of the Forest</w:t>
      </w:r>
      <w:r w:rsidDel="00000000" w:rsidR="00000000" w:rsidRPr="00000000">
        <w:rPr>
          <w:rFonts w:ascii="Times New Roman" w:cs="Times New Roman" w:eastAsia="Times New Roman" w:hAnsi="Times New Roman"/>
          <w:color w:val="000000"/>
          <w:rtl w:val="0"/>
        </w:rPr>
        <w:t xml:space="preserve">, 1984), such gestures — mixing, molding, and offering — are performative actions that </w:t>
      </w:r>
      <w:r w:rsidDel="00000000" w:rsidR="00000000" w:rsidRPr="00000000">
        <w:rPr>
          <w:rFonts w:ascii="Times New Roman" w:cs="Times New Roman" w:eastAsia="Times New Roman" w:hAnsi="Times New Roman"/>
          <w:i w:val="1"/>
          <w:iCs w:val="1"/>
          <w:color w:val="000000"/>
          <w:rtl w:val="0"/>
        </w:rPr>
        <w:t xml:space="preserve">make merit real</w:t>
      </w:r>
      <w:r w:rsidDel="00000000" w:rsidR="00000000" w:rsidRPr="00000000">
        <w:rPr>
          <w:rFonts w:ascii="Times New Roman" w:cs="Times New Roman" w:eastAsia="Times New Roman" w:hAnsi="Times New Roman"/>
          <w:color w:val="000000"/>
          <w:rtl w:val="0"/>
        </w:rPr>
        <w:t xml:space="preserve">, producing both spiritual efficacy and communal solidarity. Through Bourdieu’s framework (</w:t>
      </w:r>
      <w:r w:rsidDel="00000000" w:rsidR="00000000" w:rsidRPr="00000000">
        <w:rPr>
          <w:rFonts w:ascii="Times New Roman" w:cs="Times New Roman" w:eastAsia="Times New Roman" w:hAnsi="Times New Roman"/>
          <w:i w:val="1"/>
          <w:iCs w:val="1"/>
          <w:color w:val="000000"/>
          <w:rtl w:val="0"/>
        </w:rPr>
        <w:t xml:space="preserve">Outline of a Theory of Practice</w:t>
      </w:r>
      <w:r w:rsidDel="00000000" w:rsidR="00000000" w:rsidRPr="00000000">
        <w:rPr>
          <w:rFonts w:ascii="Times New Roman" w:cs="Times New Roman" w:eastAsia="Times New Roman" w:hAnsi="Times New Roman"/>
          <w:color w:val="000000"/>
          <w:rtl w:val="0"/>
        </w:rPr>
        <w:t xml:space="preserve">, 1977; </w:t>
      </w:r>
      <w:r w:rsidDel="00000000" w:rsidR="00000000" w:rsidRPr="00000000">
        <w:rPr>
          <w:rFonts w:ascii="Times New Roman" w:cs="Times New Roman" w:eastAsia="Times New Roman" w:hAnsi="Times New Roman"/>
          <w:i w:val="1"/>
          <w:iCs w:val="1"/>
          <w:color w:val="000000"/>
          <w:rtl w:val="0"/>
        </w:rPr>
        <w:t xml:space="preserve">Distinction</w:t>
      </w:r>
      <w:r w:rsidDel="00000000" w:rsidR="00000000" w:rsidRPr="00000000">
        <w:rPr>
          <w:rFonts w:ascii="Times New Roman" w:cs="Times New Roman" w:eastAsia="Times New Roman" w:hAnsi="Times New Roman"/>
          <w:color w:val="000000"/>
          <w:rtl w:val="0"/>
        </w:rPr>
        <w:t xml:space="preserve">, 1979), gendered ritual labor and embodied skill also generate symbolic and cultural capital: women’s competence becomes a source of moral prestige, while in northern Thailand the disciplined bodily gestures of </w:t>
      </w:r>
      <w:r w:rsidDel="00000000" w:rsidR="00000000" w:rsidRPr="00000000">
        <w:rPr>
          <w:rFonts w:ascii="Times New Roman" w:cs="Times New Roman" w:eastAsia="Times New Roman" w:hAnsi="Times New Roman"/>
          <w:i w:val="1"/>
          <w:iCs w:val="1"/>
          <w:color w:val="000000"/>
          <w:rtl w:val="0"/>
        </w:rPr>
        <w:t xml:space="preserve">Lanna</w:t>
      </w:r>
      <w:r w:rsidDel="00000000" w:rsidR="00000000" w:rsidRPr="00000000">
        <w:rPr>
          <w:rFonts w:ascii="Times New Roman" w:cs="Times New Roman" w:eastAsia="Times New Roman" w:hAnsi="Times New Roman"/>
          <w:color w:val="000000"/>
          <w:rtl w:val="0"/>
        </w:rPr>
        <w:t xml:space="preserve"> massage practitioners ritualize healing and transform technical mastery into institutional legitimacy and heritage capital. Together, these frameworks reveal how gendered performance, ritual efficacy, and embodied knowledge intersect to produce new hierarchies of sacred authority and cultural value in Buddhist Southeast Asia.</w:t>
      </w:r>
    </w:p>
    <w:p w:rsidR="00000000" w:rsidDel="00000000" w:rsidP="00000000" w:rsidRDefault="00000000" w:rsidRPr="00000000" w14:paraId="0000000D">
      <w:pPr>
        <w:spacing w:after="280" w:before="28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Presenters</w:t>
      </w:r>
    </w:p>
    <w:p w:rsidR="00000000" w:rsidDel="00000000" w:rsidP="00000000" w:rsidRDefault="00000000" w:rsidRPr="00000000" w14:paraId="0000000E">
      <w:pPr>
        <w:numPr>
          <w:ilvl w:val="0"/>
          <w:numId w:val="1"/>
        </w:numPr>
        <w:spacing w:after="0" w:before="28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Chawarote Valyamedhi</w:t>
      </w:r>
      <w:r w:rsidDel="00000000" w:rsidR="00000000" w:rsidRPr="00000000">
        <w:rPr>
          <w:rFonts w:ascii="Times New Roman" w:cs="Times New Roman" w:eastAsia="Times New Roman" w:hAnsi="Times New Roman"/>
          <w:color w:val="000000"/>
          <w:rtl w:val="0"/>
        </w:rPr>
        <w:t xml:space="preserve"> (National Chengchi University, Taiwan)</w:t>
        <w:br w:type="textWrapping"/>
        <w:t xml:space="preserve"> </w:t>
      </w:r>
      <w:r w:rsidDel="00000000" w:rsidR="00000000" w:rsidRPr="00000000">
        <w:rPr>
          <w:rFonts w:ascii="Times New Roman" w:cs="Times New Roman" w:eastAsia="Times New Roman" w:hAnsi="Times New Roman"/>
          <w:i w:val="1"/>
          <w:iCs w:val="1"/>
          <w:color w:val="000000"/>
          <w:rtl w:val="0"/>
        </w:rPr>
        <w:t xml:space="preserve">Gendering the Sacred: Women, Ritual Labor, and the Feminine Buddha in the Laak Phra Festival of Southern Thailand</w:t>
      </w:r>
      <w:r w:rsidDel="00000000" w:rsidR="00000000" w:rsidRPr="00000000">
        <w:rPr>
          <w:rtl w:val="0"/>
        </w:rPr>
      </w:r>
    </w:p>
    <w:p w:rsidR="00000000" w:rsidDel="00000000" w:rsidP="00000000" w:rsidRDefault="00000000" w:rsidRPr="00000000" w14:paraId="0000000F">
      <w:pPr>
        <w:numPr>
          <w:ilvl w:val="0"/>
          <w:numId w:val="1"/>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Louis Jarrige</w:t>
      </w:r>
      <w:r w:rsidDel="00000000" w:rsidR="00000000" w:rsidRPr="00000000">
        <w:rPr>
          <w:rFonts w:ascii="Times New Roman" w:cs="Times New Roman" w:eastAsia="Times New Roman" w:hAnsi="Times New Roman"/>
          <w:color w:val="000000"/>
          <w:rtl w:val="0"/>
        </w:rPr>
        <w:t xml:space="preserve"> (EHESS – CASE/LESC, France)</w:t>
        <w:br w:type="textWrapping"/>
        <w:t xml:space="preserve"> </w:t>
      </w:r>
      <w:r w:rsidDel="00000000" w:rsidR="00000000" w:rsidRPr="00000000">
        <w:rPr>
          <w:rFonts w:ascii="Times New Roman" w:cs="Times New Roman" w:eastAsia="Times New Roman" w:hAnsi="Times New Roman"/>
          <w:i w:val="1"/>
          <w:iCs w:val="1"/>
          <w:color w:val="000000"/>
          <w:rtl w:val="0"/>
        </w:rPr>
        <w:t xml:space="preserve">Thai Massage Lanna: Development Strategy of Traditional Medicine and Cultural Promotion of the Arts</w:t>
      </w: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Atsuko Fukuura</w:t>
      </w:r>
      <w:r w:rsidDel="00000000" w:rsidR="00000000" w:rsidRPr="00000000">
        <w:rPr>
          <w:rFonts w:ascii="Times New Roman" w:cs="Times New Roman" w:eastAsia="Times New Roman" w:hAnsi="Times New Roman"/>
          <w:color w:val="000000"/>
          <w:rtl w:val="0"/>
        </w:rPr>
        <w:t xml:space="preserve"> (Shiga University, Japan)</w:t>
        <w:br w:type="textWrapping"/>
        <w:t xml:space="preserve"> </w:t>
      </w:r>
      <w:r w:rsidDel="00000000" w:rsidR="00000000" w:rsidRPr="00000000">
        <w:rPr>
          <w:rFonts w:ascii="Times New Roman" w:cs="Times New Roman" w:eastAsia="Times New Roman" w:hAnsi="Times New Roman"/>
          <w:i w:val="1"/>
          <w:iCs w:val="1"/>
          <w:color w:val="000000"/>
          <w:rtl w:val="0"/>
        </w:rPr>
        <w:t xml:space="preserve">Between the Living and the Divine: The Ritual Embodiment of Death and Rebirth in Southeast Asian Spirit Mediumship in Singapore and Thailand</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Kazuo Fukuura</w:t>
      </w:r>
      <w:r w:rsidDel="00000000" w:rsidR="00000000" w:rsidRPr="00000000">
        <w:rPr>
          <w:rFonts w:ascii="Times New Roman" w:cs="Times New Roman" w:eastAsia="Times New Roman" w:hAnsi="Times New Roman"/>
          <w:color w:val="000000"/>
          <w:rtl w:val="0"/>
        </w:rPr>
        <w:t xml:space="preserve"> (Toin University of Yokohama, Japan)</w:t>
        <w:br w:type="textWrapping"/>
        <w:t xml:space="preserve"> </w:t>
      </w:r>
      <w:r w:rsidDel="00000000" w:rsidR="00000000" w:rsidRPr="00000000">
        <w:rPr>
          <w:rFonts w:ascii="Times New Roman" w:cs="Times New Roman" w:eastAsia="Times New Roman" w:hAnsi="Times New Roman"/>
          <w:i w:val="1"/>
          <w:iCs w:val="1"/>
          <w:color w:val="000000"/>
          <w:rtl w:val="0"/>
        </w:rPr>
        <w:t xml:space="preserve">Resurrecting Lan Na Religiosity: Northern Thai Monks and Transnational Devotees</w:t>
      </w:r>
      <w:r w:rsidDel="00000000" w:rsidR="00000000" w:rsidRPr="00000000">
        <w:rPr>
          <w:rtl w:val="0"/>
        </w:rPr>
      </w:r>
    </w:p>
    <w:p w:rsidR="00000000" w:rsidDel="00000000" w:rsidP="00000000" w:rsidRDefault="00000000" w:rsidRPr="00000000" w14:paraId="00000012">
      <w:pPr>
        <w:numPr>
          <w:ilvl w:val="0"/>
          <w:numId w:val="1"/>
        </w:numPr>
        <w:spacing w:after="280" w:before="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Anisara Sungchuai</w:t>
      </w:r>
      <w:r w:rsidDel="00000000" w:rsidR="00000000" w:rsidRPr="00000000">
        <w:rPr>
          <w:rFonts w:ascii="Times New Roman" w:cs="Times New Roman" w:eastAsia="Times New Roman" w:hAnsi="Times New Roman"/>
          <w:color w:val="000000"/>
          <w:rtl w:val="0"/>
        </w:rPr>
        <w:t xml:space="preserve"> (Rajamangala University of Technology Srivijaya, Thailand)</w:t>
        <w:br w:type="textWrapping"/>
        <w:t xml:space="preserve"> </w:t>
      </w:r>
      <w:r w:rsidDel="00000000" w:rsidR="00000000" w:rsidRPr="00000000">
        <w:rPr>
          <w:rFonts w:ascii="Times New Roman" w:cs="Times New Roman" w:eastAsia="Times New Roman" w:hAnsi="Times New Roman"/>
          <w:i w:val="1"/>
          <w:iCs w:val="1"/>
          <w:color w:val="000000"/>
          <w:rtl w:val="0"/>
        </w:rPr>
        <w:t xml:space="preserve">Women of the Rong Khru: Gendered Devotion, Healing, and Ritual Inheritance in Southern Thai Buddhism</w:t>
      </w:r>
      <w:r w:rsidDel="00000000" w:rsidR="00000000" w:rsidRPr="00000000">
        <w:rPr>
          <w:rtl w:val="0"/>
        </w:rPr>
      </w:r>
    </w:p>
    <w:p w:rsidR="00000000" w:rsidDel="00000000" w:rsidP="00000000" w:rsidRDefault="00000000" w:rsidRPr="00000000" w14:paraId="00000013">
      <w:pPr>
        <w:spacing w:after="280" w:before="28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Discussant</w:t>
      </w:r>
    </w:p>
    <w:p w:rsidR="00000000" w:rsidDel="00000000" w:rsidP="00000000" w:rsidRDefault="00000000" w:rsidRPr="00000000" w14:paraId="00000014">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Mom Luang Pattaratorn Chirapravati</w:t>
      </w:r>
      <w:r w:rsidDel="00000000" w:rsidR="00000000" w:rsidRPr="00000000">
        <w:rPr>
          <w:rFonts w:ascii="Times New Roman" w:cs="Times New Roman" w:eastAsia="Times New Roman" w:hAnsi="Times New Roman"/>
          <w:color w:val="000000"/>
          <w:rtl w:val="0"/>
        </w:rPr>
        <w:br w:type="textWrapping"/>
        <w:t xml:space="preserve">Professor of Art History, California State University, Sacramento</w:t>
        <w:br w:type="textWrapping"/>
        <w:t xml:space="preserve">Specialist in Thai and Southeast Asian Buddhist Art, Ritual, and Iconography</w:t>
      </w:r>
    </w:p>
    <w:p w:rsidR="00000000" w:rsidDel="00000000" w:rsidP="00000000" w:rsidRDefault="00000000" w:rsidRPr="00000000" w14:paraId="00000015">
      <w:pPr>
        <w:spacing w:after="280"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(Alternate Discussant: Chawarote Valyamedhi, National Chengchi University, Taiwan)</w:t>
      </w:r>
      <w:r w:rsidDel="00000000" w:rsidR="00000000" w:rsidRPr="00000000">
        <w:rPr>
          <w:rtl w:val="0"/>
        </w:rPr>
      </w:r>
    </w:p>
    <w:p w:rsidR="00000000" w:rsidDel="00000000" w:rsidP="00000000" w:rsidRDefault="00000000" w:rsidRPr="00000000" w14:paraId="00000016">
      <w:pPr>
        <w:spacing w:after="280" w:before="280" w:line="240" w:lineRule="auto"/>
        <w:rPr>
          <w:rFonts w:ascii="Times New Roman" w:cs="Times New Roman" w:eastAsia="Times New Roman" w:hAnsi="Times New Roman"/>
          <w:b w:val="1"/>
          <w:bCs w:val="1"/>
          <w:color w:val="000000"/>
          <w:sz w:val="27"/>
          <w:szCs w:val="27"/>
        </w:rPr>
      </w:pPr>
      <w:r w:rsidDel="00000000" w:rsidR="00000000" w:rsidRPr="00000000">
        <w:rPr>
          <w:rFonts w:ascii="Times New Roman" w:cs="Times New Roman" w:eastAsia="Times New Roman" w:hAnsi="Times New Roman"/>
          <w:b w:val="1"/>
          <w:bCs w:val="1"/>
          <w:color w:val="000000"/>
          <w:sz w:val="27"/>
          <w:szCs w:val="27"/>
          <w:rtl w:val="0"/>
        </w:rPr>
        <w:t xml:space="preserve">Keywords</w:t>
      </w:r>
    </w:p>
    <w:p w:rsidR="00000000" w:rsidDel="00000000" w:rsidP="00000000" w:rsidRDefault="00000000" w:rsidRPr="00000000" w14:paraId="00000017">
      <w:pPr>
        <w:spacing w:before="28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Buddhism; gender performativity; ritual labor; embodiment; cultural heritage</w:t>
      </w:r>
    </w:p>
    <w:sectPr>
      <w:footerReference r:id="rId7" w:type="default"/>
      <w:footerReference r:id="rId8" w:type="first"/>
      <w:footerReference r:id="rId9"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459123936" name=""/>
              <a:graphic>
                <a:graphicData uri="http://schemas.microsoft.com/office/word/2010/wordprocessingShape">
                  <wps:wsp>
                    <wps:cNvSpPr/>
                    <wps:cNvPr id="4" name="Shape 4"/>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459123936"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459123935" name=""/>
              <a:graphic>
                <a:graphicData uri="http://schemas.microsoft.com/office/word/2010/wordprocessingShape">
                  <wps:wsp>
                    <wps:cNvSpPr/>
                    <wps:cNvPr id="3" name="Shape 3"/>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459123935"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459123934" name=""/>
              <a:graphic>
                <a:graphicData uri="http://schemas.microsoft.com/office/word/2010/wordprocessingShape">
                  <wps:wsp>
                    <wps:cNvSpPr/>
                    <wps:cNvPr id="2" name="Shape 2"/>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459123934"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626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626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626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62649"/>
    <w:rPr>
      <w:rFonts w:asciiTheme="majorHAnsi" w:cstheme="majorBidi" w:eastAsiaTheme="majorEastAsia" w:hAnsiTheme="majorHAnsi"/>
      <w:color w:val="2f5496" w:themeColor="accent1" w:themeShade="0000BF"/>
      <w:sz w:val="40"/>
      <w:szCs w:val="50"/>
    </w:rPr>
  </w:style>
  <w:style w:type="character" w:styleId="Heading2Char" w:customStyle="1">
    <w:name w:val="Heading 2 Char"/>
    <w:basedOn w:val="DefaultParagraphFont"/>
    <w:link w:val="Heading2"/>
    <w:uiPriority w:val="9"/>
    <w:rsid w:val="00962649"/>
    <w:rPr>
      <w:rFonts w:asciiTheme="majorHAnsi" w:cstheme="majorBidi" w:eastAsiaTheme="majorEastAsia" w:hAnsiTheme="majorHAnsi"/>
      <w:color w:val="2f5496" w:themeColor="accent1" w:themeShade="0000BF"/>
      <w:sz w:val="32"/>
      <w:szCs w:val="40"/>
    </w:rPr>
  </w:style>
  <w:style w:type="character" w:styleId="Heading3Char" w:customStyle="1">
    <w:name w:val="Heading 3 Char"/>
    <w:basedOn w:val="DefaultParagraphFont"/>
    <w:link w:val="Heading3"/>
    <w:uiPriority w:val="9"/>
    <w:rsid w:val="00962649"/>
    <w:rPr>
      <w:rFonts w:cstheme="majorBidi" w:eastAsiaTheme="majorEastAsia"/>
      <w:color w:val="2f5496" w:themeColor="accent1" w:themeShade="0000BF"/>
      <w:sz w:val="28"/>
      <w:szCs w:val="35"/>
    </w:rPr>
  </w:style>
  <w:style w:type="character" w:styleId="Heading4Char" w:customStyle="1">
    <w:name w:val="Heading 4 Char"/>
    <w:basedOn w:val="DefaultParagraphFont"/>
    <w:link w:val="Heading4"/>
    <w:uiPriority w:val="9"/>
    <w:semiHidden w:val="1"/>
    <w:rsid w:val="0096264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6264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626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626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626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6264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62649"/>
    <w:rPr>
      <w:rFonts w:asciiTheme="majorHAnsi" w:cstheme="majorBidi" w:eastAsiaTheme="majorEastAsia" w:hAnsiTheme="majorHAnsi"/>
      <w:spacing w:val="-10"/>
      <w:kern w:val="28"/>
      <w:sz w:val="56"/>
      <w:szCs w:val="71"/>
    </w:rPr>
  </w:style>
  <w:style w:type="character" w:styleId="SubtitleChar" w:customStyle="1">
    <w:name w:val="Subtitle Char"/>
    <w:basedOn w:val="DefaultParagraphFont"/>
    <w:link w:val="Subtitle"/>
    <w:uiPriority w:val="11"/>
    <w:rsid w:val="00962649"/>
    <w:rPr>
      <w:rFonts w:cstheme="majorBidi" w:eastAsiaTheme="majorEastAsia"/>
      <w:color w:val="595959" w:themeColor="text1" w:themeTint="0000A6"/>
      <w:spacing w:val="15"/>
      <w:sz w:val="28"/>
      <w:szCs w:val="35"/>
    </w:rPr>
  </w:style>
  <w:style w:type="paragraph" w:styleId="Quote">
    <w:name w:val="Quote"/>
    <w:basedOn w:val="Normal"/>
    <w:next w:val="Normal"/>
    <w:link w:val="QuoteChar"/>
    <w:uiPriority w:val="29"/>
    <w:qFormat w:val="1"/>
    <w:rsid w:val="009626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62649"/>
    <w:rPr>
      <w:rFonts w:cs="Angsana New"/>
      <w:i w:val="1"/>
      <w:iCs w:val="1"/>
      <w:color w:val="404040" w:themeColor="text1" w:themeTint="0000BF"/>
    </w:rPr>
  </w:style>
  <w:style w:type="paragraph" w:styleId="ListParagraph">
    <w:name w:val="List Paragraph"/>
    <w:basedOn w:val="Normal"/>
    <w:uiPriority w:val="34"/>
    <w:qFormat w:val="1"/>
    <w:rsid w:val="00962649"/>
    <w:pPr>
      <w:ind w:left="720"/>
      <w:contextualSpacing w:val="1"/>
    </w:pPr>
  </w:style>
  <w:style w:type="character" w:styleId="IntenseEmphasis">
    <w:name w:val="Intense Emphasis"/>
    <w:basedOn w:val="DefaultParagraphFont"/>
    <w:uiPriority w:val="21"/>
    <w:qFormat w:val="1"/>
    <w:rsid w:val="00962649"/>
    <w:rPr>
      <w:i w:val="1"/>
      <w:iCs w:val="1"/>
      <w:color w:val="2f5496" w:themeColor="accent1" w:themeShade="0000BF"/>
    </w:rPr>
  </w:style>
  <w:style w:type="paragraph" w:styleId="IntenseQuote">
    <w:name w:val="Intense Quote"/>
    <w:basedOn w:val="Normal"/>
    <w:next w:val="Normal"/>
    <w:link w:val="IntenseQuoteChar"/>
    <w:uiPriority w:val="30"/>
    <w:qFormat w:val="1"/>
    <w:rsid w:val="0096264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62649"/>
    <w:rPr>
      <w:rFonts w:cs="Angsana New"/>
      <w:i w:val="1"/>
      <w:iCs w:val="1"/>
      <w:color w:val="2f5496" w:themeColor="accent1" w:themeShade="0000BF"/>
    </w:rPr>
  </w:style>
  <w:style w:type="character" w:styleId="IntenseReference">
    <w:name w:val="Intense Reference"/>
    <w:basedOn w:val="DefaultParagraphFont"/>
    <w:uiPriority w:val="32"/>
    <w:qFormat w:val="1"/>
    <w:rsid w:val="00962649"/>
    <w:rPr>
      <w:b w:val="1"/>
      <w:bCs w:val="1"/>
      <w:smallCaps w:val="1"/>
      <w:color w:val="2f5496" w:themeColor="accent1" w:themeShade="0000BF"/>
      <w:spacing w:val="5"/>
    </w:rPr>
  </w:style>
  <w:style w:type="character" w:styleId="Strong">
    <w:name w:val="Strong"/>
    <w:basedOn w:val="DefaultParagraphFont"/>
    <w:uiPriority w:val="22"/>
    <w:qFormat w:val="1"/>
    <w:rsid w:val="00962649"/>
    <w:rPr>
      <w:b w:val="1"/>
      <w:bCs w:val="1"/>
    </w:rPr>
  </w:style>
  <w:style w:type="paragraph" w:styleId="NormalWeb">
    <w:name w:val="Normal (Web)"/>
    <w:basedOn w:val="Normal"/>
    <w:uiPriority w:val="99"/>
    <w:semiHidden w:val="1"/>
    <w:unhideWhenUsed w:val="1"/>
    <w:rsid w:val="00962649"/>
    <w:pPr>
      <w:spacing w:after="100" w:afterAutospacing="1" w:before="100" w:beforeAutospacing="1" w:line="240" w:lineRule="auto"/>
    </w:pPr>
    <w:rPr>
      <w:rFonts w:ascii="Times New Roman" w:cs="Times New Roman" w:eastAsia="Times New Roman" w:hAnsi="Times New Roman"/>
      <w:kern w:val="0"/>
      <w:szCs w:val="24"/>
    </w:rPr>
  </w:style>
  <w:style w:type="character" w:styleId="apple-converted-space" w:customStyle="1">
    <w:name w:val="apple-converted-space"/>
    <w:basedOn w:val="DefaultParagraphFont"/>
    <w:rsid w:val="00962649"/>
  </w:style>
  <w:style w:type="character" w:styleId="Emphasis">
    <w:name w:val="Emphasis"/>
    <w:basedOn w:val="DefaultParagraphFont"/>
    <w:uiPriority w:val="20"/>
    <w:qFormat w:val="1"/>
    <w:rsid w:val="00962649"/>
    <w:rPr>
      <w:i w:val="1"/>
      <w:iCs w:val="1"/>
    </w:rPr>
  </w:style>
  <w:style w:type="paragraph" w:styleId="Footer">
    <w:name w:val="footer"/>
    <w:basedOn w:val="Normal"/>
    <w:link w:val="FooterChar"/>
    <w:uiPriority w:val="99"/>
    <w:unhideWhenUsed w:val="1"/>
    <w:rsid w:val="00EC52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521F"/>
    <w:rPr>
      <w:rFonts w:cs="Angsana New"/>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UZA2Mg1uhuj7n5idRFpAiPP7w==">CgMxLjA4AHIhMVdLQWd2SDFNSmFqc1o2Z1hzOGR4Y280VlpqYlRyN0lJ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2025-12-01T22:50:00Z</dcterms:created>
  <dc:creator>Chawarote Valyamedhi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1b5dacdd,c833cb8,265b2ec</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