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8623" w14:textId="77777777" w:rsidR="00902F0E" w:rsidRPr="00F81F23" w:rsidRDefault="00902F0E" w:rsidP="000C4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F23">
        <w:rPr>
          <w:rFonts w:ascii="Times New Roman" w:hAnsi="Times New Roman" w:cs="Times New Roman"/>
          <w:color w:val="000000" w:themeColor="text1"/>
          <w:sz w:val="24"/>
          <w:szCs w:val="24"/>
        </w:rPr>
        <w:t>Panel Title</w:t>
      </w:r>
    </w:p>
    <w:p w14:paraId="34FD5C31" w14:textId="1E5EEA7B" w:rsidR="00053C56" w:rsidRPr="00053C56" w:rsidRDefault="00053C56" w:rsidP="00053C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 w:val="0"/>
          <w:color w:val="222222"/>
          <w:lang w:eastAsia="en-PH"/>
        </w:rPr>
      </w:pPr>
      <w:r w:rsidRPr="00053C5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en-PH"/>
        </w:rPr>
        <w:t>Revisiting Southeast Asian Women’s Views and Representations:</w:t>
      </w:r>
      <w:r w:rsidR="005442B3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en-PH"/>
        </w:rPr>
        <w:t xml:space="preserve"> </w:t>
      </w:r>
      <w:r w:rsidRPr="00053C5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en-PH"/>
        </w:rPr>
        <w:t>A Critical Look at Historical and Literary Media and Writings</w:t>
      </w:r>
    </w:p>
    <w:p w14:paraId="3B6963CE" w14:textId="77777777" w:rsidR="00E73BDE" w:rsidRDefault="00E73BDE" w:rsidP="000C4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13899" w14:textId="00983D16" w:rsidR="00902F0E" w:rsidRPr="005A5FCF" w:rsidRDefault="00902F0E" w:rsidP="000C4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FCF">
        <w:rPr>
          <w:rFonts w:ascii="Times New Roman" w:hAnsi="Times New Roman" w:cs="Times New Roman"/>
          <w:color w:val="000000" w:themeColor="text1"/>
          <w:sz w:val="24"/>
          <w:szCs w:val="24"/>
        </w:rPr>
        <w:t>Panel Convener</w:t>
      </w:r>
      <w:r w:rsidR="00E73BDE" w:rsidRPr="005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A5682B" w:rsidRPr="005A5FCF">
        <w:rPr>
          <w:rFonts w:ascii="Times New Roman" w:hAnsi="Times New Roman" w:cs="Times New Roman"/>
          <w:color w:val="000000" w:themeColor="text1"/>
          <w:sz w:val="24"/>
          <w:szCs w:val="24"/>
        </w:rPr>
        <w:t>Ma. Rita Lourdes Alfaro</w:t>
      </w:r>
    </w:p>
    <w:p w14:paraId="2B5C9B6E" w14:textId="45F861A4" w:rsidR="00E73BDE" w:rsidRPr="005A5FCF" w:rsidRDefault="00E73BDE" w:rsidP="000C4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FCF">
        <w:rPr>
          <w:rFonts w:ascii="Times New Roman" w:hAnsi="Times New Roman" w:cs="Times New Roman"/>
          <w:color w:val="000000" w:themeColor="text1"/>
          <w:sz w:val="24"/>
          <w:szCs w:val="24"/>
        </w:rPr>
        <w:t>Affiliation: Department of History, Ateneo de Manila University</w:t>
      </w:r>
    </w:p>
    <w:p w14:paraId="78EC7E94" w14:textId="005FF95E" w:rsidR="00E73BDE" w:rsidRPr="005A5FCF" w:rsidRDefault="00E73BDE" w:rsidP="000C4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FCF">
        <w:rPr>
          <w:rFonts w:ascii="Times New Roman" w:hAnsi="Times New Roman" w:cs="Times New Roman"/>
          <w:color w:val="000000" w:themeColor="text1"/>
          <w:sz w:val="24"/>
          <w:szCs w:val="24"/>
        </w:rPr>
        <w:t>Email: malfaro@ateneo.edu</w:t>
      </w:r>
    </w:p>
    <w:p w14:paraId="12A4E9B8" w14:textId="77777777" w:rsidR="00E73BDE" w:rsidRPr="00782D46" w:rsidRDefault="00E73BDE" w:rsidP="00F81F23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0C0823" w14:textId="73A0DB63" w:rsidR="00902F0E" w:rsidRDefault="00902F0E" w:rsidP="00F81F23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D5966" w14:textId="2C027490" w:rsidR="00902F0E" w:rsidRDefault="00573D0B" w:rsidP="00F81F23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Brief </w:t>
      </w:r>
      <w:r w:rsidR="00B17BB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81F23">
        <w:rPr>
          <w:rFonts w:ascii="Times New Roman" w:hAnsi="Times New Roman" w:cs="Times New Roman"/>
          <w:color w:val="000000" w:themeColor="text1"/>
          <w:sz w:val="24"/>
          <w:szCs w:val="24"/>
        </w:rPr>
        <w:t>escription of the P</w:t>
      </w:r>
      <w:r w:rsidR="00902F0E" w:rsidRPr="00F81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anel </w:t>
      </w:r>
      <w:r w:rsidRPr="00F81F2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902F0E" w:rsidRPr="00F81F23">
        <w:rPr>
          <w:rFonts w:ascii="Times New Roman" w:hAnsi="Times New Roman" w:cs="Times New Roman"/>
          <w:color w:val="000000" w:themeColor="text1"/>
          <w:sz w:val="24"/>
          <w:szCs w:val="24"/>
        </w:rPr>
        <w:t>ormat</w:t>
      </w:r>
    </w:p>
    <w:p w14:paraId="3E41F454" w14:textId="454809E2" w:rsidR="003157CD" w:rsidRDefault="003157CD" w:rsidP="00F81F2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panel presentation is proposed to be carried out </w:t>
      </w:r>
      <w:r w:rsidR="00885D11">
        <w:rPr>
          <w:rFonts w:ascii="Times New Roman" w:hAnsi="Times New Roman" w:cs="Times New Roman"/>
          <w:color w:val="000000" w:themeColor="text1"/>
          <w:sz w:val="24"/>
          <w:szCs w:val="24"/>
        </w:rPr>
        <w:t>in the following manner:</w:t>
      </w:r>
    </w:p>
    <w:p w14:paraId="129FFF0E" w14:textId="3730C525" w:rsidR="00792E0C" w:rsidRDefault="00792E0C" w:rsidP="00F81F23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</w:t>
      </w:r>
      <w:r w:rsidR="009F3E7C">
        <w:rPr>
          <w:rFonts w:ascii="Times New Roman" w:hAnsi="Times New Roman" w:cs="Times New Roman"/>
          <w:color w:val="000000" w:themeColor="text1"/>
          <w:sz w:val="24"/>
          <w:szCs w:val="24"/>
        </w:rPr>
        <w:t>of the f</w:t>
      </w:r>
      <w:r w:rsidR="008D7704">
        <w:rPr>
          <w:rFonts w:ascii="Times New Roman" w:hAnsi="Times New Roman" w:cs="Times New Roman"/>
          <w:color w:val="000000" w:themeColor="text1"/>
          <w:sz w:val="24"/>
          <w:szCs w:val="24"/>
        </w:rPr>
        <w:t>ive</w:t>
      </w:r>
      <w:r w:rsidR="009F3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D770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F3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presenter</w:t>
      </w:r>
      <w:r w:rsidR="009F3E7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484D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pre-circulate a concise version of his/her research for the </w:t>
      </w:r>
      <w:r w:rsidR="00F57A57">
        <w:rPr>
          <w:rFonts w:ascii="Times New Roman" w:hAnsi="Times New Roman" w:cs="Times New Roman"/>
          <w:color w:val="000000" w:themeColor="text1"/>
          <w:sz w:val="24"/>
          <w:szCs w:val="24"/>
        </w:rPr>
        <w:t>advanced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read-through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 the conference participants and thus enjoin a more dynamic discussion</w:t>
      </w:r>
      <w:r w:rsidR="00A56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B2F38DA" w14:textId="47AB20F4" w:rsidR="00A5682B" w:rsidRDefault="00FC7245" w:rsidP="00F81F23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420AF">
        <w:rPr>
          <w:rFonts w:ascii="Times New Roman" w:hAnsi="Times New Roman" w:cs="Times New Roman"/>
          <w:color w:val="000000" w:themeColor="text1"/>
          <w:sz w:val="24"/>
          <w:szCs w:val="24"/>
        </w:rPr>
        <w:t>resentations</w:t>
      </w:r>
      <w:r w:rsidR="00FD0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F3E7C">
        <w:rPr>
          <w:rFonts w:ascii="Times New Roman" w:hAnsi="Times New Roman" w:cs="Times New Roman"/>
          <w:color w:val="000000" w:themeColor="text1"/>
          <w:sz w:val="24"/>
          <w:szCs w:val="24"/>
        </w:rPr>
        <w:t>50-</w:t>
      </w:r>
      <w:r w:rsidR="008D770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D02A6">
        <w:rPr>
          <w:rFonts w:ascii="Times New Roman" w:hAnsi="Times New Roman" w:cs="Times New Roman"/>
          <w:color w:val="000000" w:themeColor="text1"/>
          <w:sz w:val="24"/>
          <w:szCs w:val="24"/>
        </w:rPr>
        <w:t>0 minutes)</w:t>
      </w:r>
      <w:r w:rsidR="00142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9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presenter will </w:t>
      </w:r>
      <w:r w:rsidR="00142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make his/her presentation </w:t>
      </w:r>
      <w:r w:rsidR="00A56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 running time of </w:t>
      </w:r>
      <w:r w:rsidR="008D7704">
        <w:rPr>
          <w:rFonts w:ascii="Times New Roman" w:hAnsi="Times New Roman" w:cs="Times New Roman"/>
          <w:color w:val="000000" w:themeColor="text1"/>
          <w:sz w:val="24"/>
          <w:szCs w:val="24"/>
        </w:rPr>
        <w:t>at least</w:t>
      </w:r>
      <w:r w:rsidR="00F57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B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C484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0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82B">
        <w:rPr>
          <w:rFonts w:ascii="Times New Roman" w:hAnsi="Times New Roman" w:cs="Times New Roman"/>
          <w:color w:val="000000" w:themeColor="text1"/>
          <w:sz w:val="24"/>
          <w:szCs w:val="24"/>
        </w:rPr>
        <w:t>minutes.</w:t>
      </w:r>
    </w:p>
    <w:p w14:paraId="7FAACEDA" w14:textId="33C7D0A1" w:rsidR="00885D11" w:rsidRPr="00FD02A6" w:rsidRDefault="00FC7245" w:rsidP="00F81F23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2A6">
        <w:rPr>
          <w:rFonts w:ascii="Times New Roman" w:hAnsi="Times New Roman" w:cs="Times New Roman"/>
          <w:color w:val="000000" w:themeColor="text1"/>
          <w:sz w:val="24"/>
          <w:szCs w:val="24"/>
        </w:rPr>
        <w:t>Interaction</w:t>
      </w:r>
      <w:r w:rsidR="00FD02A6" w:rsidRPr="00FD0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D7704">
        <w:rPr>
          <w:rFonts w:ascii="Times New Roman" w:hAnsi="Times New Roman" w:cs="Times New Roman"/>
          <w:color w:val="000000" w:themeColor="text1"/>
          <w:sz w:val="24"/>
          <w:szCs w:val="24"/>
        </w:rPr>
        <w:t>15-</w:t>
      </w:r>
      <w:r w:rsidR="009F3E7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A1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FD02A6" w:rsidRPr="00FD02A6">
        <w:rPr>
          <w:rFonts w:ascii="Times New Roman" w:hAnsi="Times New Roman" w:cs="Times New Roman"/>
          <w:color w:val="000000" w:themeColor="text1"/>
          <w:sz w:val="24"/>
          <w:szCs w:val="24"/>
        </w:rPr>
        <w:t>inutes)</w:t>
      </w:r>
      <w:r w:rsidR="001420AF" w:rsidRPr="00FD0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After </w:t>
      </w:r>
      <w:r w:rsidRPr="00FD02A6">
        <w:rPr>
          <w:rFonts w:ascii="Times New Roman" w:hAnsi="Times New Roman" w:cs="Times New Roman"/>
          <w:color w:val="000000" w:themeColor="text1"/>
          <w:sz w:val="24"/>
          <w:szCs w:val="24"/>
        </w:rPr>
        <w:t>all presentations have been made</w:t>
      </w:r>
      <w:r w:rsidR="001420AF" w:rsidRPr="00FD0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each presenter will </w:t>
      </w:r>
      <w:r w:rsidRPr="00FD0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“interact” with one or several presentations by </w:t>
      </w:r>
      <w:r w:rsidR="00802CE1">
        <w:rPr>
          <w:rFonts w:ascii="Times New Roman" w:hAnsi="Times New Roman" w:cs="Times New Roman"/>
          <w:color w:val="000000" w:themeColor="text1"/>
          <w:sz w:val="24"/>
          <w:szCs w:val="24"/>
        </w:rPr>
        <w:t>responding</w:t>
      </w:r>
      <w:r w:rsidRPr="00FD0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ideas, arguments, </w:t>
      </w:r>
      <w:r w:rsidR="000C4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FD0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conjectures, as presented. </w:t>
      </w:r>
      <w:r w:rsidR="00FD02A6" w:rsidRPr="00FD02A6">
        <w:rPr>
          <w:rFonts w:ascii="Times New Roman" w:hAnsi="Times New Roman" w:cs="Times New Roman"/>
          <w:color w:val="000000" w:themeColor="text1"/>
          <w:sz w:val="24"/>
          <w:szCs w:val="24"/>
        </w:rPr>
        <w:t>After the interaction among the presenters in this panel</w:t>
      </w:r>
      <w:r w:rsidR="0080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concluded, </w:t>
      </w:r>
      <w:r w:rsidR="00FD02A6" w:rsidRPr="00FD02A6">
        <w:rPr>
          <w:rFonts w:ascii="Times New Roman" w:hAnsi="Times New Roman" w:cs="Times New Roman"/>
          <w:color w:val="000000" w:themeColor="text1"/>
          <w:sz w:val="24"/>
          <w:szCs w:val="24"/>
        </w:rPr>
        <w:t>interaction with the participants will be in the manner of an open forum.</w:t>
      </w:r>
    </w:p>
    <w:p w14:paraId="65E30AF5" w14:textId="522834A4" w:rsidR="00902F0E" w:rsidRDefault="00902F0E" w:rsidP="00F81F23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5157E" w14:textId="77777777" w:rsidR="00F50703" w:rsidRDefault="00F50703" w:rsidP="00F50703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Panel Composition</w:t>
      </w:r>
    </w:p>
    <w:p w14:paraId="458A2A36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F50703">
        <w:rPr>
          <w:rFonts w:ascii="Times New Roman" w:hAnsi="Times New Roman" w:cs="Times New Roman"/>
          <w:b/>
          <w:lang w:val="en-US"/>
        </w:rPr>
        <w:t xml:space="preserve">Mary Dorothy Jose, </w:t>
      </w:r>
      <w:r w:rsidRPr="00F50703">
        <w:rPr>
          <w:rFonts w:ascii="Times New Roman" w:hAnsi="Times New Roman" w:cs="Times New Roman"/>
          <w:b/>
          <w:sz w:val="20"/>
          <w:lang w:val="en-US"/>
        </w:rPr>
        <w:t>Ph.D</w:t>
      </w:r>
      <w:r w:rsidRPr="00F50703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608238D9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Faculty, University of the Philippines Manila </w:t>
      </w:r>
    </w:p>
    <w:p w14:paraId="7ECBD7DC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en-US"/>
        </w:rPr>
        <w:t xml:space="preserve">Research Fellow, National University of Singapore </w:t>
      </w:r>
    </w:p>
    <w:p w14:paraId="6D251CDD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  <w:b/>
        </w:rPr>
      </w:pPr>
    </w:p>
    <w:p w14:paraId="43D1338F" w14:textId="77777777" w:rsidR="00F50703" w:rsidRPr="005442B3" w:rsidRDefault="00F50703" w:rsidP="00F50703">
      <w:pPr>
        <w:spacing w:after="0"/>
        <w:jc w:val="both"/>
        <w:rPr>
          <w:rFonts w:ascii="Times New Roman" w:hAnsi="Times New Roman" w:cs="Times New Roman"/>
          <w:lang w:val="it-IT"/>
        </w:rPr>
      </w:pPr>
      <w:r w:rsidRPr="005442B3">
        <w:rPr>
          <w:rFonts w:ascii="Times New Roman" w:hAnsi="Times New Roman" w:cs="Times New Roman"/>
          <w:b/>
          <w:lang w:val="it-IT"/>
        </w:rPr>
        <w:t xml:space="preserve">Janet Reguindin-Estella, </w:t>
      </w:r>
      <w:r w:rsidRPr="005442B3">
        <w:rPr>
          <w:rFonts w:ascii="Times New Roman" w:hAnsi="Times New Roman" w:cs="Times New Roman"/>
          <w:b/>
          <w:sz w:val="20"/>
          <w:lang w:val="it-IT"/>
        </w:rPr>
        <w:t>Ph.D.</w:t>
      </w:r>
      <w:r w:rsidRPr="005442B3">
        <w:rPr>
          <w:rFonts w:ascii="Times New Roman" w:hAnsi="Times New Roman" w:cs="Times New Roman"/>
          <w:sz w:val="20"/>
          <w:lang w:val="it-IT"/>
        </w:rPr>
        <w:t xml:space="preserve"> </w:t>
      </w:r>
    </w:p>
    <w:p w14:paraId="4BB3D6BB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Faculty, University of the Philippines Diliman </w:t>
      </w:r>
    </w:p>
    <w:p w14:paraId="4D419F58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  <w:i/>
        </w:rPr>
      </w:pPr>
    </w:p>
    <w:p w14:paraId="698AE3E2" w14:textId="77777777" w:rsidR="00F50703" w:rsidRPr="00F50703" w:rsidRDefault="00F50703" w:rsidP="00F5070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F50703">
        <w:rPr>
          <w:rFonts w:ascii="Times New Roman" w:hAnsi="Times New Roman" w:cs="Times New Roman"/>
          <w:b/>
        </w:rPr>
        <w:t xml:space="preserve">Ma. Rita Lourdes Alfaro, </w:t>
      </w:r>
      <w:r w:rsidRPr="00F50703">
        <w:rPr>
          <w:rFonts w:ascii="Times New Roman" w:hAnsi="Times New Roman" w:cs="Times New Roman"/>
          <w:b/>
          <w:sz w:val="20"/>
        </w:rPr>
        <w:t xml:space="preserve">LL.B. </w:t>
      </w:r>
    </w:p>
    <w:p w14:paraId="10554B0B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Faculty, Ateneo de Manila University </w:t>
      </w:r>
    </w:p>
    <w:p w14:paraId="332C94BA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Researcher,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Research and Innovations Center -Lyceum of the Philippines Manila</w:t>
      </w:r>
    </w:p>
    <w:p w14:paraId="50527218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EFEA59" w14:textId="77777777" w:rsidR="00F50703" w:rsidRPr="00F50703" w:rsidRDefault="00F50703" w:rsidP="00F50703">
      <w:pPr>
        <w:spacing w:after="0"/>
        <w:jc w:val="both"/>
        <w:rPr>
          <w:rFonts w:ascii="Times New Roman" w:hAnsi="Times New Roman" w:cs="Times New Roman"/>
          <w:b/>
        </w:rPr>
      </w:pPr>
      <w:r w:rsidRPr="00F50703">
        <w:rPr>
          <w:rFonts w:ascii="Times New Roman" w:hAnsi="Times New Roman" w:cs="Times New Roman"/>
          <w:b/>
        </w:rPr>
        <w:t>Arthur Navarro</w:t>
      </w:r>
    </w:p>
    <w:p w14:paraId="5FFE13D3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Faculty, University of the Philippines Manila</w:t>
      </w:r>
    </w:p>
    <w:p w14:paraId="314B6809" w14:textId="1474D5FF" w:rsidR="00F50703" w:rsidRPr="00F50703" w:rsidRDefault="005E4286" w:rsidP="00F507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Consultant, </w:t>
      </w:r>
      <w:r w:rsidR="00F50703">
        <w:rPr>
          <w:rFonts w:ascii="Times New Roman" w:hAnsi="Times New Roman" w:cs="Times New Roman"/>
          <w:color w:val="000000" w:themeColor="text1"/>
          <w:sz w:val="24"/>
          <w:szCs w:val="24"/>
        </w:rPr>
        <w:t>Forum for Ethical Review Committees in the Asian and Western Pacific Region (FERCAP)</w:t>
      </w:r>
    </w:p>
    <w:p w14:paraId="34E2E7B4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7FDFB456" w14:textId="0FCCD23B" w:rsidR="00F50703" w:rsidRPr="00F50703" w:rsidRDefault="00F50703" w:rsidP="00F50703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F50703">
        <w:rPr>
          <w:rFonts w:ascii="Times New Roman" w:hAnsi="Times New Roman" w:cs="Times New Roman"/>
          <w:b/>
          <w:lang w:val="en-US"/>
        </w:rPr>
        <w:t>Axle Christi</w:t>
      </w:r>
      <w:r w:rsidR="007B64F3">
        <w:rPr>
          <w:rFonts w:ascii="Times New Roman" w:hAnsi="Times New Roman" w:cs="Times New Roman"/>
          <w:b/>
          <w:lang w:val="en-US"/>
        </w:rPr>
        <w:t>e</w:t>
      </w:r>
      <w:r w:rsidRPr="00F50703">
        <w:rPr>
          <w:rFonts w:ascii="Times New Roman" w:hAnsi="Times New Roman" w:cs="Times New Roman"/>
          <w:b/>
          <w:lang w:val="en-US"/>
        </w:rPr>
        <w:t>n Tugano</w:t>
      </w:r>
    </w:p>
    <w:p w14:paraId="4416402D" w14:textId="77777777" w:rsidR="00F50703" w:rsidRDefault="00F50703" w:rsidP="00F50703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Faculty, University of the Philippines Los Banos</w:t>
      </w:r>
    </w:p>
    <w:p w14:paraId="7D776FBA" w14:textId="77777777" w:rsidR="00F50703" w:rsidRDefault="00F507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FDE7EC3" w14:textId="24A8DEC8" w:rsidR="00902F0E" w:rsidRDefault="00902F0E" w:rsidP="00F81F23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Panel Des</w:t>
      </w:r>
      <w:r w:rsidR="00BD58F3">
        <w:rPr>
          <w:rFonts w:ascii="Times New Roman" w:hAnsi="Times New Roman" w:cs="Times New Roman"/>
          <w:color w:val="000000" w:themeColor="text1"/>
          <w:sz w:val="24"/>
          <w:szCs w:val="24"/>
        </w:rPr>
        <w:t>cription</w:t>
      </w:r>
    </w:p>
    <w:p w14:paraId="31C45400" w14:textId="77777777" w:rsidR="005A5FCF" w:rsidRDefault="00D85DC5" w:rsidP="00D85DC5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5A5FCF">
        <w:rPr>
          <w:rFonts w:ascii="Times New Roman" w:hAnsi="Times New Roman" w:cs="Times New Roman"/>
          <w:color w:val="000000" w:themeColor="text1"/>
          <w:sz w:val="24"/>
          <w:szCs w:val="24"/>
        </w:rPr>
        <w:t>the discipline of women and gender history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FCF">
        <w:rPr>
          <w:rFonts w:ascii="Times New Roman" w:hAnsi="Times New Roman" w:cs="Times New Roman"/>
          <w:color w:val="000000" w:themeColor="text1"/>
          <w:sz w:val="24"/>
          <w:szCs w:val="24"/>
        </w:rPr>
        <w:t>expands 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transforms</w:t>
      </w:r>
      <w:r w:rsidR="005A5F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now seeks a deeper examination of how women perceive themselves and how women, as active participants in the story of humankind, are perceived by others. </w:t>
      </w:r>
    </w:p>
    <w:p w14:paraId="797AE4EA" w14:textId="77777777" w:rsidR="00FC3E03" w:rsidRDefault="00FC3E03" w:rsidP="00D85DC5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31275" w14:textId="6EF9CE92" w:rsidR="00FC3E03" w:rsidRDefault="00D85DC5" w:rsidP="00FC3E0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papers presented in this panel scrutinize varying portrayals of women </w:t>
      </w:r>
      <w:r w:rsidR="005A5FCF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revisiting women’s views and representations </w:t>
      </w:r>
      <w:r w:rsidR="005A5FC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employing a critical gaze at historical and literary writings</w:t>
      </w:r>
      <w:r w:rsidR="00FC3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depictions in mass media,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within a larger matrix of</w:t>
      </w:r>
      <w:r w:rsidR="005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“belonging” -as women write and perceive themselves and “othering” as women are perceived by others. </w:t>
      </w:r>
    </w:p>
    <w:p w14:paraId="5D8A3E65" w14:textId="77777777" w:rsidR="00F57A57" w:rsidRDefault="00F57A57" w:rsidP="00F81F23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83C6A" w14:textId="78679FB2" w:rsidR="00FC3E03" w:rsidRDefault="00FC3E03" w:rsidP="00FC3E0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researches featured in this panel seeks to contribute to the scholarly field</w:t>
      </w:r>
      <w:r w:rsidRPr="00FC3E03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W</w:t>
      </w:r>
      <w:r w:rsidRPr="00FC3E03">
        <w:rPr>
          <w:rFonts w:ascii="Times New Roman" w:hAnsi="Times New Roman" w:cs="Times New Roman"/>
        </w:rPr>
        <w:t>omen’s Studies, Area Studies, and Media Studies</w:t>
      </w:r>
      <w:r>
        <w:rPr>
          <w:rFonts w:ascii="Times New Roman" w:hAnsi="Times New Roman" w:cs="Times New Roman"/>
        </w:rPr>
        <w:t>.</w:t>
      </w:r>
    </w:p>
    <w:p w14:paraId="1B5AD985" w14:textId="77777777" w:rsidR="00FC3E03" w:rsidRDefault="00FC3E03" w:rsidP="00FC3E03">
      <w:pPr>
        <w:ind w:firstLine="720"/>
        <w:jc w:val="both"/>
        <w:rPr>
          <w:rFonts w:ascii="Times New Roman" w:hAnsi="Times New Roman" w:cs="Times New Roman"/>
        </w:rPr>
      </w:pPr>
    </w:p>
    <w:p w14:paraId="219EA44B" w14:textId="41CED36C" w:rsidR="00D5298F" w:rsidRDefault="00F57A57" w:rsidP="00FC3E0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 of t</w:t>
      </w:r>
      <w:r w:rsidR="00D5298F" w:rsidRPr="00B20048">
        <w:rPr>
          <w:rFonts w:ascii="Times New Roman" w:hAnsi="Times New Roman" w:cs="Times New Roman"/>
        </w:rPr>
        <w:t>he rhetoric employed by Filipina suffragists in advancing their cause remains an unexplored theme</w:t>
      </w:r>
      <w:r w:rsidR="00FC3E03">
        <w:rPr>
          <w:rFonts w:ascii="Times New Roman" w:hAnsi="Times New Roman" w:cs="Times New Roman"/>
        </w:rPr>
        <w:t>, thus, the</w:t>
      </w:r>
      <w:r w:rsidR="00330DE0">
        <w:rPr>
          <w:rFonts w:ascii="Times New Roman" w:hAnsi="Times New Roman" w:cs="Times New Roman"/>
        </w:rPr>
        <w:t xml:space="preserve"> research entitled</w:t>
      </w:r>
      <w:r w:rsidR="00D5298F" w:rsidRPr="00B200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F57A57">
        <w:rPr>
          <w:rFonts w:ascii="Times New Roman" w:hAnsi="Times New Roman" w:cs="Times New Roman"/>
          <w:b/>
          <w:bCs/>
        </w:rPr>
        <w:t>The Filipino Woman in the Eyes of Filipina Suffragists: An Examination of Women’s Writings from 1907 to 1955</w:t>
      </w:r>
      <w:r>
        <w:rPr>
          <w:rFonts w:ascii="Times New Roman" w:hAnsi="Times New Roman" w:cs="Times New Roman"/>
        </w:rPr>
        <w:t>” examines</w:t>
      </w:r>
      <w:r w:rsidR="00D5298F" w:rsidRPr="00B20048">
        <w:rPr>
          <w:rFonts w:ascii="Times New Roman" w:hAnsi="Times New Roman" w:cs="Times New Roman"/>
        </w:rPr>
        <w:t xml:space="preserve"> how Filipina suffragists view</w:t>
      </w:r>
      <w:r>
        <w:rPr>
          <w:rFonts w:ascii="Times New Roman" w:hAnsi="Times New Roman" w:cs="Times New Roman"/>
        </w:rPr>
        <w:t>ed</w:t>
      </w:r>
      <w:r w:rsidR="00D5298F" w:rsidRPr="00B20048">
        <w:rPr>
          <w:rFonts w:ascii="Times New Roman" w:hAnsi="Times New Roman" w:cs="Times New Roman"/>
        </w:rPr>
        <w:t xml:space="preserve"> the Filipino woman </w:t>
      </w:r>
      <w:r>
        <w:rPr>
          <w:rFonts w:ascii="Times New Roman" w:hAnsi="Times New Roman" w:cs="Times New Roman"/>
        </w:rPr>
        <w:t>by studying</w:t>
      </w:r>
      <w:r w:rsidR="00D5298F" w:rsidRPr="00B20048">
        <w:rPr>
          <w:rFonts w:ascii="Times New Roman" w:hAnsi="Times New Roman" w:cs="Times New Roman"/>
        </w:rPr>
        <w:t xml:space="preserve"> their writings from the early years of American colonization </w:t>
      </w:r>
      <w:r>
        <w:rPr>
          <w:rFonts w:ascii="Times New Roman" w:hAnsi="Times New Roman" w:cs="Times New Roman"/>
        </w:rPr>
        <w:t>(</w:t>
      </w:r>
      <w:r w:rsidR="00D5298F" w:rsidRPr="00B20048">
        <w:rPr>
          <w:rFonts w:ascii="Times New Roman" w:hAnsi="Times New Roman" w:cs="Times New Roman"/>
        </w:rPr>
        <w:t>of the Philippines</w:t>
      </w:r>
      <w:r>
        <w:rPr>
          <w:rFonts w:ascii="Times New Roman" w:hAnsi="Times New Roman" w:cs="Times New Roman"/>
        </w:rPr>
        <w:t>)</w:t>
      </w:r>
      <w:r w:rsidR="00D5298F" w:rsidRPr="00B200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until</w:t>
      </w:r>
      <w:r w:rsidR="00D5298F" w:rsidRPr="00B20048">
        <w:rPr>
          <w:rFonts w:ascii="Times New Roman" w:hAnsi="Times New Roman" w:cs="Times New Roman"/>
        </w:rPr>
        <w:t xml:space="preserve"> 1955.</w:t>
      </w:r>
    </w:p>
    <w:p w14:paraId="7256BE9F" w14:textId="15941D47" w:rsidR="00D5298F" w:rsidRPr="00B20048" w:rsidRDefault="00330DE0" w:rsidP="005A5FC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“</w:t>
      </w:r>
      <w:r w:rsidR="00D5298F" w:rsidRPr="00330DE0">
        <w:rPr>
          <w:rFonts w:ascii="Times New Roman" w:hAnsi="Times New Roman" w:cs="Times New Roman"/>
          <w:b/>
          <w:bCs/>
        </w:rPr>
        <w:t xml:space="preserve">Women and Nationalism: Comparative </w:t>
      </w:r>
      <w:r w:rsidRPr="00330DE0">
        <w:rPr>
          <w:rFonts w:ascii="Times New Roman" w:hAnsi="Times New Roman" w:cs="Times New Roman"/>
          <w:b/>
          <w:bCs/>
        </w:rPr>
        <w:t>Analysis</w:t>
      </w:r>
      <w:r w:rsidR="00D5298F" w:rsidRPr="00330DE0">
        <w:rPr>
          <w:rFonts w:ascii="Times New Roman" w:hAnsi="Times New Roman" w:cs="Times New Roman"/>
          <w:b/>
          <w:bCs/>
        </w:rPr>
        <w:t xml:space="preserve"> of Salud Algabre’s </w:t>
      </w:r>
      <w:r w:rsidRPr="00330DE0">
        <w:rPr>
          <w:rFonts w:ascii="Times New Roman" w:hAnsi="Times New Roman" w:cs="Times New Roman"/>
          <w:b/>
          <w:bCs/>
        </w:rPr>
        <w:t>Written</w:t>
      </w:r>
      <w:r w:rsidR="00D5298F" w:rsidRPr="00330DE0">
        <w:rPr>
          <w:rFonts w:ascii="Times New Roman" w:hAnsi="Times New Roman" w:cs="Times New Roman"/>
          <w:b/>
          <w:bCs/>
        </w:rPr>
        <w:t xml:space="preserve"> Life History</w:t>
      </w:r>
      <w:r>
        <w:rPr>
          <w:rFonts w:ascii="Times New Roman" w:hAnsi="Times New Roman" w:cs="Times New Roman"/>
        </w:rPr>
        <w:t>” the author</w:t>
      </w:r>
      <w:r w:rsidR="00D5298F" w:rsidRPr="00B20048">
        <w:rPr>
          <w:rFonts w:ascii="Times New Roman" w:hAnsi="Times New Roman" w:cs="Times New Roman"/>
        </w:rPr>
        <w:t xml:space="preserve"> survey</w:t>
      </w:r>
      <w:r>
        <w:rPr>
          <w:rFonts w:ascii="Times New Roman" w:hAnsi="Times New Roman" w:cs="Times New Roman"/>
        </w:rPr>
        <w:t>s</w:t>
      </w:r>
      <w:r w:rsidR="00D5298F" w:rsidRPr="00B20048">
        <w:rPr>
          <w:rFonts w:ascii="Times New Roman" w:hAnsi="Times New Roman" w:cs="Times New Roman"/>
        </w:rPr>
        <w:t xml:space="preserve"> written works </w:t>
      </w:r>
      <w:r w:rsidR="00EE2E80">
        <w:rPr>
          <w:rFonts w:ascii="Times New Roman" w:hAnsi="Times New Roman" w:cs="Times New Roman"/>
        </w:rPr>
        <w:t>featuring</w:t>
      </w:r>
      <w:r w:rsidR="00D5298F" w:rsidRPr="00B20048">
        <w:rPr>
          <w:rFonts w:ascii="Times New Roman" w:hAnsi="Times New Roman" w:cs="Times New Roman"/>
        </w:rPr>
        <w:t xml:space="preserve"> Salud Algabre</w:t>
      </w:r>
      <w:r w:rsidR="00676723" w:rsidRPr="00BF6940">
        <w:rPr>
          <w:rFonts w:ascii="Times New Roman" w:hAnsi="Times New Roman" w:cs="Times New Roman"/>
        </w:rPr>
        <w:t>,</w:t>
      </w:r>
      <w:r w:rsidR="00EE2E80">
        <w:rPr>
          <w:rFonts w:ascii="Times New Roman" w:hAnsi="Times New Roman" w:cs="Times New Roman"/>
        </w:rPr>
        <w:t xml:space="preserve"> woman forerunner of the peasant struggle for Philippine independence. This is followed by an examination of</w:t>
      </w:r>
      <w:r w:rsidR="00D5298F" w:rsidRPr="00B20048">
        <w:rPr>
          <w:rFonts w:ascii="Times New Roman" w:hAnsi="Times New Roman" w:cs="Times New Roman"/>
        </w:rPr>
        <w:t xml:space="preserve"> the perspectives of biographers and how they looked into Algabre’s contribution </w:t>
      </w:r>
      <w:r w:rsidR="00D5298F">
        <w:rPr>
          <w:rFonts w:ascii="Times New Roman" w:hAnsi="Times New Roman" w:cs="Times New Roman"/>
        </w:rPr>
        <w:t>to</w:t>
      </w:r>
      <w:r w:rsidR="00D5298F" w:rsidRPr="00B20048">
        <w:rPr>
          <w:rFonts w:ascii="Times New Roman" w:hAnsi="Times New Roman" w:cs="Times New Roman"/>
        </w:rPr>
        <w:t xml:space="preserve"> the struggle for Philippine independence.</w:t>
      </w:r>
    </w:p>
    <w:p w14:paraId="673F7B0A" w14:textId="0076A5DD" w:rsidR="00D5298F" w:rsidRDefault="00D5298F" w:rsidP="005A5FCF">
      <w:pPr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Perusing recollections of </w:t>
      </w:r>
      <w:r w:rsidR="00EE2E80">
        <w:rPr>
          <w:rFonts w:ascii="Times New Roman" w:hAnsi="Times New Roman" w:cs="Times New Roman"/>
          <w:lang w:val="en-US"/>
        </w:rPr>
        <w:t xml:space="preserve">women in World War II -the Filipina </w:t>
      </w:r>
      <w:r w:rsidR="00EE2E80" w:rsidRPr="009F3E7C">
        <w:rPr>
          <w:rFonts w:ascii="Times New Roman" w:hAnsi="Times New Roman" w:cs="Times New Roman"/>
          <w:lang w:val="en-US"/>
        </w:rPr>
        <w:t>guerilla</w:t>
      </w:r>
      <w:r w:rsidR="00EE2E80">
        <w:rPr>
          <w:rFonts w:ascii="Times New Roman" w:hAnsi="Times New Roman" w:cs="Times New Roman"/>
          <w:lang w:val="en-US"/>
        </w:rPr>
        <w:t xml:space="preserve">, American </w:t>
      </w:r>
      <w:r>
        <w:rPr>
          <w:rFonts w:ascii="Times New Roman" w:hAnsi="Times New Roman" w:cs="Times New Roman"/>
          <w:lang w:val="en-US"/>
        </w:rPr>
        <w:t>internees</w:t>
      </w:r>
      <w:r w:rsidR="00EE2E80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and</w:t>
      </w:r>
      <w:r w:rsidR="00EE2E8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women volunteers </w:t>
      </w:r>
      <w:r w:rsidR="00EE2E80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 xml:space="preserve"> the Japanese Army in the Philippines</w:t>
      </w:r>
      <w:r w:rsidR="00EE2E80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="00EE2E80">
        <w:rPr>
          <w:rFonts w:ascii="Times New Roman" w:hAnsi="Times New Roman" w:cs="Times New Roman"/>
          <w:lang w:val="en-US"/>
        </w:rPr>
        <w:t>“</w:t>
      </w:r>
      <w:r w:rsidR="00EE2E80" w:rsidRPr="00EE2E80">
        <w:rPr>
          <w:rFonts w:ascii="Times New Roman" w:hAnsi="Times New Roman" w:cs="Times New Roman"/>
          <w:b/>
          <w:bCs/>
        </w:rPr>
        <w:t xml:space="preserve">Angels, Patriots, and Criminals: A look into </w:t>
      </w:r>
      <w:r w:rsidR="00EE2E80">
        <w:rPr>
          <w:rFonts w:ascii="Times New Roman" w:hAnsi="Times New Roman" w:cs="Times New Roman"/>
          <w:b/>
          <w:bCs/>
        </w:rPr>
        <w:t>W</w:t>
      </w:r>
      <w:r w:rsidR="00EE2E80" w:rsidRPr="00EE2E80">
        <w:rPr>
          <w:rFonts w:ascii="Times New Roman" w:hAnsi="Times New Roman" w:cs="Times New Roman"/>
          <w:b/>
          <w:bCs/>
        </w:rPr>
        <w:t xml:space="preserve">omen’s </w:t>
      </w:r>
      <w:r w:rsidR="00EE2E80">
        <w:rPr>
          <w:rFonts w:ascii="Times New Roman" w:hAnsi="Times New Roman" w:cs="Times New Roman"/>
          <w:b/>
          <w:bCs/>
        </w:rPr>
        <w:t>a</w:t>
      </w:r>
      <w:r w:rsidR="00EE2E80" w:rsidRPr="00EE2E80">
        <w:rPr>
          <w:rFonts w:ascii="Times New Roman" w:hAnsi="Times New Roman" w:cs="Times New Roman"/>
          <w:b/>
          <w:bCs/>
        </w:rPr>
        <w:t>ccounts of their participation during World War II in the Philippines</w:t>
      </w:r>
      <w:r w:rsidR="00EE2E80">
        <w:rPr>
          <w:rFonts w:ascii="Times New Roman" w:hAnsi="Times New Roman" w:cs="Times New Roman"/>
          <w:lang w:val="en-US"/>
        </w:rPr>
        <w:t xml:space="preserve">” </w:t>
      </w:r>
      <w:r>
        <w:rPr>
          <w:rFonts w:ascii="Times New Roman" w:hAnsi="Times New Roman" w:cs="Times New Roman"/>
          <w:lang w:val="en-US"/>
        </w:rPr>
        <w:t xml:space="preserve">endeavors to present several propositions: women’s perceptions of their own participation and experiences during the </w:t>
      </w:r>
      <w:r w:rsidR="009F3E7C">
        <w:rPr>
          <w:rFonts w:ascii="Times New Roman" w:hAnsi="Times New Roman" w:cs="Times New Roman"/>
          <w:lang w:val="en-US"/>
        </w:rPr>
        <w:t>war</w:t>
      </w:r>
      <w:r>
        <w:rPr>
          <w:rFonts w:ascii="Times New Roman" w:hAnsi="Times New Roman" w:cs="Times New Roman"/>
          <w:lang w:val="en-US"/>
        </w:rPr>
        <w:t xml:space="preserve"> vis-à-vis patriotism</w:t>
      </w:r>
      <w:r w:rsidR="00EE2E80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and, how, in published memoirs, women represented and justified their </w:t>
      </w:r>
      <w:r w:rsidR="009F3E7C">
        <w:rPr>
          <w:rFonts w:ascii="Times New Roman" w:hAnsi="Times New Roman" w:cs="Times New Roman"/>
          <w:lang w:val="en-US"/>
        </w:rPr>
        <w:t>roles in the</w:t>
      </w:r>
      <w:r>
        <w:rPr>
          <w:rFonts w:ascii="Times New Roman" w:hAnsi="Times New Roman" w:cs="Times New Roman"/>
          <w:lang w:val="en-US"/>
        </w:rPr>
        <w:t xml:space="preserve"> war to the rest of the world. </w:t>
      </w:r>
    </w:p>
    <w:p w14:paraId="1A6C94F7" w14:textId="3E7CC31A" w:rsidR="00876F48" w:rsidRDefault="00FC3E03" w:rsidP="00876F48">
      <w:pPr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“</w:t>
      </w:r>
      <w:r w:rsidRPr="00FC3E03">
        <w:rPr>
          <w:rFonts w:ascii="Times New Roman" w:hAnsi="Times New Roman" w:cs="Times New Roman"/>
          <w:b/>
          <w:lang w:val="en-US"/>
        </w:rPr>
        <w:t xml:space="preserve">Filming Kartini: Hindia Belanda and Perempuan in </w:t>
      </w:r>
      <w:r w:rsidRPr="00FC3E03">
        <w:rPr>
          <w:rFonts w:ascii="Times New Roman" w:hAnsi="Times New Roman" w:cs="Times New Roman"/>
          <w:b/>
          <w:i/>
          <w:lang w:val="en-US"/>
        </w:rPr>
        <w:t>The Postman and Kartini</w:t>
      </w:r>
      <w:r w:rsidRPr="00FC3E03">
        <w:rPr>
          <w:rFonts w:ascii="Times New Roman" w:hAnsi="Times New Roman" w:cs="Times New Roman"/>
          <w:b/>
          <w:lang w:val="en-US"/>
        </w:rPr>
        <w:t xml:space="preserve"> (2016) and  </w:t>
      </w:r>
      <w:r w:rsidRPr="00FC3E03">
        <w:rPr>
          <w:rFonts w:ascii="Times New Roman" w:hAnsi="Times New Roman" w:cs="Times New Roman"/>
          <w:b/>
          <w:i/>
          <w:lang w:val="en-US"/>
        </w:rPr>
        <w:t>Kartini: Princess of Java</w:t>
      </w:r>
      <w:r w:rsidRPr="00FC3E03">
        <w:rPr>
          <w:rFonts w:ascii="Times New Roman" w:hAnsi="Times New Roman" w:cs="Times New Roman"/>
          <w:b/>
          <w:lang w:val="en-US"/>
        </w:rPr>
        <w:t xml:space="preserve"> (2017)</w:t>
      </w:r>
      <w:r>
        <w:rPr>
          <w:rFonts w:ascii="Times New Roman" w:hAnsi="Times New Roman" w:cs="Times New Roman"/>
          <w:lang w:val="en-US"/>
        </w:rPr>
        <w:t xml:space="preserve">”  the author </w:t>
      </w:r>
      <w:r w:rsidR="00876F48">
        <w:rPr>
          <w:rFonts w:ascii="Times New Roman" w:hAnsi="Times New Roman" w:cs="Times New Roman"/>
          <w:lang w:val="en-US"/>
        </w:rPr>
        <w:t xml:space="preserve">reviews </w:t>
      </w:r>
      <w:r w:rsidRPr="00FC3E03">
        <w:rPr>
          <w:rFonts w:ascii="Times New Roman" w:hAnsi="Times New Roman" w:cs="Times New Roman"/>
          <w:lang w:val="en-US"/>
        </w:rPr>
        <w:t>two films that featured Kartini’s life—</w:t>
      </w:r>
      <w:r w:rsidRPr="00876F48">
        <w:rPr>
          <w:rFonts w:ascii="Times New Roman" w:hAnsi="Times New Roman" w:cs="Times New Roman"/>
          <w:i/>
          <w:lang w:val="en-US"/>
        </w:rPr>
        <w:t>The Postman and Kartini</w:t>
      </w:r>
      <w:r w:rsidRPr="00FC3E03">
        <w:rPr>
          <w:rFonts w:ascii="Times New Roman" w:hAnsi="Times New Roman" w:cs="Times New Roman"/>
          <w:lang w:val="en-US"/>
        </w:rPr>
        <w:t xml:space="preserve"> </w:t>
      </w:r>
      <w:r w:rsidR="00876F48" w:rsidRPr="00FC3E03">
        <w:rPr>
          <w:rFonts w:ascii="Times New Roman" w:hAnsi="Times New Roman" w:cs="Times New Roman"/>
          <w:lang w:val="en-US"/>
        </w:rPr>
        <w:t xml:space="preserve">and </w:t>
      </w:r>
      <w:r w:rsidR="00876F48" w:rsidRPr="00876F48">
        <w:rPr>
          <w:rFonts w:ascii="Times New Roman" w:hAnsi="Times New Roman" w:cs="Times New Roman"/>
          <w:i/>
          <w:lang w:val="en-US"/>
        </w:rPr>
        <w:t>Kartini: Princess of Java</w:t>
      </w:r>
      <w:r w:rsidR="00876F48">
        <w:rPr>
          <w:rFonts w:ascii="Times New Roman" w:hAnsi="Times New Roman" w:cs="Times New Roman"/>
          <w:lang w:val="en-US"/>
        </w:rPr>
        <w:t xml:space="preserve">  which directly represent the</w:t>
      </w:r>
      <w:r w:rsidR="00876F48" w:rsidRPr="00FC3E03">
        <w:rPr>
          <w:rFonts w:ascii="Times New Roman" w:hAnsi="Times New Roman" w:cs="Times New Roman"/>
          <w:lang w:val="en-US"/>
        </w:rPr>
        <w:t xml:space="preserve"> Post-Soeharto Era </w:t>
      </w:r>
      <w:r w:rsidR="00876F48">
        <w:rPr>
          <w:rFonts w:ascii="Times New Roman" w:hAnsi="Times New Roman" w:cs="Times New Roman"/>
          <w:lang w:val="en-US"/>
        </w:rPr>
        <w:t>where</w:t>
      </w:r>
      <w:r w:rsidR="00876F48" w:rsidRPr="00FC3E03">
        <w:rPr>
          <w:rFonts w:ascii="Times New Roman" w:hAnsi="Times New Roman" w:cs="Times New Roman"/>
          <w:lang w:val="en-US"/>
        </w:rPr>
        <w:t xml:space="preserve"> Indonesian films </w:t>
      </w:r>
      <w:r w:rsidR="00876F48">
        <w:rPr>
          <w:rFonts w:ascii="Times New Roman" w:hAnsi="Times New Roman" w:cs="Times New Roman"/>
          <w:lang w:val="en-US"/>
        </w:rPr>
        <w:t xml:space="preserve">showcases the histories of their heroines. Both center on  </w:t>
      </w:r>
      <w:r w:rsidR="00876F48" w:rsidRPr="00FC3E03">
        <w:rPr>
          <w:rFonts w:ascii="Times New Roman" w:hAnsi="Times New Roman" w:cs="Times New Roman"/>
          <w:lang w:val="en-US"/>
        </w:rPr>
        <w:t>R</w:t>
      </w:r>
      <w:r w:rsidR="00F50703">
        <w:rPr>
          <w:rFonts w:ascii="Times New Roman" w:hAnsi="Times New Roman" w:cs="Times New Roman"/>
          <w:lang w:val="en-US"/>
        </w:rPr>
        <w:t>aden Adjeng Kartini (1879-1904),</w:t>
      </w:r>
      <w:r w:rsidR="00876F48" w:rsidRPr="00FC3E03">
        <w:rPr>
          <w:rFonts w:ascii="Times New Roman" w:hAnsi="Times New Roman" w:cs="Times New Roman"/>
          <w:lang w:val="en-US"/>
        </w:rPr>
        <w:t xml:space="preserve"> one of the main sowers of the women’s</w:t>
      </w:r>
      <w:r w:rsidR="00023C56">
        <w:rPr>
          <w:rFonts w:ascii="Times New Roman" w:hAnsi="Times New Roman" w:cs="Times New Roman"/>
          <w:lang w:val="en-US"/>
        </w:rPr>
        <w:t xml:space="preserve"> Islamic movement in Indonesia</w:t>
      </w:r>
      <w:r w:rsidR="00876F48" w:rsidRPr="00FC3E03">
        <w:rPr>
          <w:rFonts w:ascii="Times New Roman" w:hAnsi="Times New Roman" w:cs="Times New Roman"/>
          <w:lang w:val="en-US"/>
        </w:rPr>
        <w:t xml:space="preserve"> </w:t>
      </w:r>
      <w:r w:rsidR="00876F48">
        <w:rPr>
          <w:rFonts w:ascii="Times New Roman" w:hAnsi="Times New Roman" w:cs="Times New Roman"/>
          <w:lang w:val="en-US"/>
        </w:rPr>
        <w:t>in the</w:t>
      </w:r>
      <w:r w:rsidR="00023C56">
        <w:rPr>
          <w:rFonts w:ascii="Times New Roman" w:hAnsi="Times New Roman" w:cs="Times New Roman"/>
          <w:lang w:val="en-US"/>
        </w:rPr>
        <w:t xml:space="preserve"> 18</w:t>
      </w:r>
      <w:r w:rsidR="00023C56" w:rsidRPr="00023C56">
        <w:rPr>
          <w:rFonts w:ascii="Times New Roman" w:hAnsi="Times New Roman" w:cs="Times New Roman"/>
          <w:vertAlign w:val="superscript"/>
          <w:lang w:val="en-US"/>
        </w:rPr>
        <w:t>th</w:t>
      </w:r>
      <w:r w:rsidR="00023C56">
        <w:rPr>
          <w:rFonts w:ascii="Times New Roman" w:hAnsi="Times New Roman" w:cs="Times New Roman"/>
          <w:lang w:val="en-US"/>
        </w:rPr>
        <w:t xml:space="preserve"> to </w:t>
      </w:r>
      <w:r w:rsidR="00876F48" w:rsidRPr="00FC3E03">
        <w:rPr>
          <w:rFonts w:ascii="Times New Roman" w:hAnsi="Times New Roman" w:cs="Times New Roman"/>
          <w:lang w:val="en-US"/>
        </w:rPr>
        <w:t>19</w:t>
      </w:r>
      <w:r w:rsidR="00023C56" w:rsidRPr="00023C56">
        <w:rPr>
          <w:rFonts w:ascii="Times New Roman" w:hAnsi="Times New Roman" w:cs="Times New Roman"/>
          <w:vertAlign w:val="superscript"/>
          <w:lang w:val="en-US"/>
        </w:rPr>
        <w:t>th</w:t>
      </w:r>
      <w:r w:rsidR="00023C56">
        <w:rPr>
          <w:rFonts w:ascii="Times New Roman" w:hAnsi="Times New Roman" w:cs="Times New Roman"/>
          <w:lang w:val="en-US"/>
        </w:rPr>
        <w:t xml:space="preserve"> </w:t>
      </w:r>
      <w:r w:rsidR="00876F48" w:rsidRPr="00FC3E03">
        <w:rPr>
          <w:rFonts w:ascii="Times New Roman" w:hAnsi="Times New Roman" w:cs="Times New Roman"/>
          <w:lang w:val="en-US"/>
        </w:rPr>
        <w:t>century.</w:t>
      </w:r>
      <w:r w:rsidR="00876F48">
        <w:rPr>
          <w:rFonts w:ascii="Times New Roman" w:hAnsi="Times New Roman" w:cs="Times New Roman"/>
          <w:lang w:val="en-US"/>
        </w:rPr>
        <w:t xml:space="preserve"> These films will be evaluated </w:t>
      </w:r>
      <w:r w:rsidR="00876F48" w:rsidRPr="00FC3E03">
        <w:rPr>
          <w:rFonts w:ascii="Times New Roman" w:hAnsi="Times New Roman" w:cs="Times New Roman"/>
          <w:lang w:val="en-US"/>
        </w:rPr>
        <w:t>on textual, contextual, subtextual, and intertextual analyses</w:t>
      </w:r>
      <w:r w:rsidR="00876F48">
        <w:rPr>
          <w:rFonts w:ascii="Times New Roman" w:hAnsi="Times New Roman" w:cs="Times New Roman"/>
          <w:lang w:val="en-US"/>
        </w:rPr>
        <w:t xml:space="preserve"> </w:t>
      </w:r>
      <w:r w:rsidR="00023C56">
        <w:rPr>
          <w:rFonts w:ascii="Times New Roman" w:hAnsi="Times New Roman" w:cs="Times New Roman"/>
          <w:lang w:val="en-US"/>
        </w:rPr>
        <w:t>to sew</w:t>
      </w:r>
      <w:r w:rsidR="00876F48" w:rsidRPr="00FC3E03">
        <w:rPr>
          <w:rFonts w:ascii="Times New Roman" w:hAnsi="Times New Roman" w:cs="Times New Roman"/>
          <w:lang w:val="en-US"/>
        </w:rPr>
        <w:t xml:space="preserve"> together the comprehensive relationship of Area/ Intercultural/Interpeople Studies, Southeast Asian Studies, and Islamic Women’s Studies from a pro- Asian framework.</w:t>
      </w:r>
    </w:p>
    <w:p w14:paraId="66DF87A6" w14:textId="77777777" w:rsidR="00FC3E03" w:rsidRPr="00FC3E03" w:rsidRDefault="00FC3E03" w:rsidP="00FC3E0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“</w:t>
      </w:r>
      <w:r w:rsidRPr="00FC3E03">
        <w:rPr>
          <w:rFonts w:ascii="Times New Roman" w:hAnsi="Times New Roman" w:cs="Times New Roman"/>
          <w:b/>
        </w:rPr>
        <w:t>No Longer the Villainess: The Changing Representations of Women in Thai Boys’ Love Series, 2014-2024</w:t>
      </w:r>
      <w:r>
        <w:rPr>
          <w:rFonts w:ascii="Times New Roman" w:hAnsi="Times New Roman" w:cs="Times New Roman"/>
        </w:rPr>
        <w:t xml:space="preserve">” the author analyzes </w:t>
      </w:r>
      <w:r w:rsidRPr="00FC3E03">
        <w:rPr>
          <w:rFonts w:ascii="Times New Roman" w:hAnsi="Times New Roman" w:cs="Times New Roman"/>
        </w:rPr>
        <w:t xml:space="preserve">the changing representations of women in a selection of Thai boys’ love (BL) series or Thai series wai released </w:t>
      </w:r>
      <w:r>
        <w:rPr>
          <w:rFonts w:ascii="Times New Roman" w:hAnsi="Times New Roman" w:cs="Times New Roman"/>
        </w:rPr>
        <w:t>in</w:t>
      </w:r>
      <w:r w:rsidRPr="00FC3E03">
        <w:rPr>
          <w:rFonts w:ascii="Times New Roman" w:hAnsi="Times New Roman" w:cs="Times New Roman"/>
        </w:rPr>
        <w:t xml:space="preserve"> the last </w:t>
      </w:r>
      <w:r>
        <w:rPr>
          <w:rFonts w:ascii="Times New Roman" w:hAnsi="Times New Roman" w:cs="Times New Roman"/>
        </w:rPr>
        <w:t xml:space="preserve">ten (10) </w:t>
      </w:r>
      <w:r w:rsidRPr="00FC3E03">
        <w:rPr>
          <w:rFonts w:ascii="Times New Roman" w:hAnsi="Times New Roman" w:cs="Times New Roman"/>
        </w:rPr>
        <w:t>years.  While in general, Thai series wai’s representations of female characters have moved on from the portrayal of villainous ex-girlfriend or lover, there are still changes necessary to address the stereoty</w:t>
      </w:r>
      <w:r>
        <w:rPr>
          <w:rFonts w:ascii="Times New Roman" w:hAnsi="Times New Roman" w:cs="Times New Roman"/>
        </w:rPr>
        <w:t>pical depictions of women in the TBL</w:t>
      </w:r>
      <w:r w:rsidRPr="00FC3E03">
        <w:rPr>
          <w:rFonts w:ascii="Times New Roman" w:hAnsi="Times New Roman" w:cs="Times New Roman"/>
        </w:rPr>
        <w:t xml:space="preserve"> genre.</w:t>
      </w:r>
    </w:p>
    <w:p w14:paraId="4E9C8D24" w14:textId="77777777" w:rsidR="00FC3E03" w:rsidRPr="00FC3E03" w:rsidRDefault="00FC3E03" w:rsidP="00FC3E03">
      <w:pPr>
        <w:ind w:firstLine="720"/>
        <w:jc w:val="both"/>
        <w:rPr>
          <w:rFonts w:ascii="Times New Roman" w:hAnsi="Times New Roman" w:cs="Times New Roman"/>
          <w:lang w:val="en-US"/>
        </w:rPr>
      </w:pPr>
    </w:p>
    <w:p w14:paraId="74332E68" w14:textId="77777777" w:rsidR="005A5FCF" w:rsidRDefault="005A5FCF" w:rsidP="00F507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882D97" w14:textId="535582BA" w:rsidR="00802CE1" w:rsidRDefault="00802CE1" w:rsidP="00F81F23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Panel Format</w:t>
      </w:r>
    </w:p>
    <w:p w14:paraId="128501F3" w14:textId="77777777" w:rsidR="00F50703" w:rsidRDefault="00F50703" w:rsidP="00F81F23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602795" w14:textId="6FC2C382" w:rsidR="00573D0B" w:rsidRDefault="00FA1F7E" w:rsidP="00F81F2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panel presentation will be completed in a single session, </w:t>
      </w:r>
      <w:r w:rsidR="00910264">
        <w:rPr>
          <w:rFonts w:ascii="Times New Roman" w:hAnsi="Times New Roman" w:cs="Times New Roman"/>
          <w:color w:val="000000" w:themeColor="text1"/>
          <w:sz w:val="24"/>
          <w:szCs w:val="24"/>
        </w:rPr>
        <w:t>allotting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28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minutes </w:t>
      </w:r>
      <w:r w:rsidR="000C4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paper presentations, and </w:t>
      </w:r>
      <w:r w:rsidR="005E42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minutes </w:t>
      </w:r>
      <w:r w:rsidR="000C484D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D0B">
        <w:rPr>
          <w:rFonts w:ascii="Times New Roman" w:hAnsi="Times New Roman" w:cs="Times New Roman"/>
          <w:color w:val="000000" w:themeColor="text1"/>
          <w:sz w:val="24"/>
          <w:szCs w:val="24"/>
        </w:rPr>
        <w:t>interaction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including </w:t>
      </w:r>
      <w:r w:rsidR="00676723" w:rsidRPr="00BF6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Pr="00BF6940">
        <w:rPr>
          <w:rFonts w:ascii="Times New Roman" w:hAnsi="Times New Roman" w:cs="Times New Roman"/>
          <w:color w:val="000000" w:themeColor="text1"/>
          <w:sz w:val="24"/>
          <w:szCs w:val="24"/>
        </w:rPr>
        <w:t>open forum</w:t>
      </w:r>
      <w:r w:rsidR="00573D0B" w:rsidRPr="00BF6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</w:t>
      </w:r>
      <w:r w:rsidR="00676723" w:rsidRPr="00BF6940">
        <w:rPr>
          <w:rFonts w:ascii="Times New Roman" w:hAnsi="Times New Roman" w:cs="Times New Roman"/>
          <w:color w:val="000000" w:themeColor="text1"/>
          <w:sz w:val="24"/>
          <w:szCs w:val="24"/>
        </w:rPr>
        <w:t>above stated</w:t>
      </w:r>
      <w:r w:rsidRPr="00BF69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9F52FA" w14:textId="333EF832" w:rsidR="00450444" w:rsidRDefault="00450444" w:rsidP="00F81F2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4528F" w14:textId="6A884C48" w:rsidR="00450444" w:rsidRDefault="00F81F23" w:rsidP="00F81F2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panel may be expanded to cover topics beyond the Philippines to include Southeast Asian, Asian</w:t>
      </w:r>
      <w:r w:rsidR="000C48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global contexts</w:t>
      </w:r>
      <w:r w:rsidR="000C4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450444" w:rsidSect="00D076FF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758C" w14:textId="77777777" w:rsidR="00D076FF" w:rsidRDefault="00D076FF" w:rsidP="00B94719">
      <w:pPr>
        <w:spacing w:after="0" w:line="240" w:lineRule="auto"/>
      </w:pPr>
      <w:r>
        <w:separator/>
      </w:r>
    </w:p>
  </w:endnote>
  <w:endnote w:type="continuationSeparator" w:id="0">
    <w:p w14:paraId="25568BE9" w14:textId="77777777" w:rsidR="00D076FF" w:rsidRDefault="00D076FF" w:rsidP="00B9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FD5C" w14:textId="77777777" w:rsidR="00D076FF" w:rsidRDefault="00D076FF" w:rsidP="00B94719">
      <w:pPr>
        <w:spacing w:after="0" w:line="240" w:lineRule="auto"/>
      </w:pPr>
      <w:r>
        <w:separator/>
      </w:r>
    </w:p>
  </w:footnote>
  <w:footnote w:type="continuationSeparator" w:id="0">
    <w:p w14:paraId="5D6DA9B7" w14:textId="77777777" w:rsidR="00D076FF" w:rsidRDefault="00D076FF" w:rsidP="00B9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2D1C"/>
    <w:multiLevelType w:val="hybridMultilevel"/>
    <w:tmpl w:val="9AB0BF68"/>
    <w:lvl w:ilvl="0" w:tplc="04DAA2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79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D3"/>
    <w:rsid w:val="00021B2A"/>
    <w:rsid w:val="00023C56"/>
    <w:rsid w:val="00024AD3"/>
    <w:rsid w:val="000530F6"/>
    <w:rsid w:val="00053C56"/>
    <w:rsid w:val="000C484D"/>
    <w:rsid w:val="000E67D9"/>
    <w:rsid w:val="000F0934"/>
    <w:rsid w:val="00114872"/>
    <w:rsid w:val="00140FFE"/>
    <w:rsid w:val="001420AF"/>
    <w:rsid w:val="00193B43"/>
    <w:rsid w:val="00194720"/>
    <w:rsid w:val="001A0B6F"/>
    <w:rsid w:val="001D7885"/>
    <w:rsid w:val="00200283"/>
    <w:rsid w:val="002655A7"/>
    <w:rsid w:val="002F3BDB"/>
    <w:rsid w:val="003157CD"/>
    <w:rsid w:val="00330DE0"/>
    <w:rsid w:val="003768E0"/>
    <w:rsid w:val="003B0907"/>
    <w:rsid w:val="003B221F"/>
    <w:rsid w:val="00416E44"/>
    <w:rsid w:val="00435A1D"/>
    <w:rsid w:val="00450444"/>
    <w:rsid w:val="004566A3"/>
    <w:rsid w:val="00465635"/>
    <w:rsid w:val="004A4624"/>
    <w:rsid w:val="004A5900"/>
    <w:rsid w:val="004B5946"/>
    <w:rsid w:val="00507FE2"/>
    <w:rsid w:val="005442B3"/>
    <w:rsid w:val="00573D0B"/>
    <w:rsid w:val="005803AD"/>
    <w:rsid w:val="005A5FCF"/>
    <w:rsid w:val="005D07A0"/>
    <w:rsid w:val="005E2494"/>
    <w:rsid w:val="005E4286"/>
    <w:rsid w:val="00607BA5"/>
    <w:rsid w:val="00620B02"/>
    <w:rsid w:val="00662C05"/>
    <w:rsid w:val="00676723"/>
    <w:rsid w:val="006948B4"/>
    <w:rsid w:val="006A4D53"/>
    <w:rsid w:val="00745DFA"/>
    <w:rsid w:val="00756B3F"/>
    <w:rsid w:val="007708D9"/>
    <w:rsid w:val="00782D46"/>
    <w:rsid w:val="00784E81"/>
    <w:rsid w:val="00792E0C"/>
    <w:rsid w:val="007B64F3"/>
    <w:rsid w:val="00802CE1"/>
    <w:rsid w:val="0083324D"/>
    <w:rsid w:val="00876CCB"/>
    <w:rsid w:val="00876F48"/>
    <w:rsid w:val="00885D11"/>
    <w:rsid w:val="00885F92"/>
    <w:rsid w:val="008B3970"/>
    <w:rsid w:val="008D055E"/>
    <w:rsid w:val="008D7704"/>
    <w:rsid w:val="00902F0E"/>
    <w:rsid w:val="00910264"/>
    <w:rsid w:val="009104B8"/>
    <w:rsid w:val="0092385D"/>
    <w:rsid w:val="009533F3"/>
    <w:rsid w:val="009C2048"/>
    <w:rsid w:val="009F3E7C"/>
    <w:rsid w:val="009F4572"/>
    <w:rsid w:val="009F4C01"/>
    <w:rsid w:val="00A10A4E"/>
    <w:rsid w:val="00A34FE5"/>
    <w:rsid w:val="00A5682B"/>
    <w:rsid w:val="00A96D98"/>
    <w:rsid w:val="00B17BB7"/>
    <w:rsid w:val="00B94719"/>
    <w:rsid w:val="00BA1D8E"/>
    <w:rsid w:val="00BB3009"/>
    <w:rsid w:val="00BD58F3"/>
    <w:rsid w:val="00BF6940"/>
    <w:rsid w:val="00C3413D"/>
    <w:rsid w:val="00C70CA4"/>
    <w:rsid w:val="00C72BAE"/>
    <w:rsid w:val="00C8246D"/>
    <w:rsid w:val="00D06C4C"/>
    <w:rsid w:val="00D076FF"/>
    <w:rsid w:val="00D10BE9"/>
    <w:rsid w:val="00D36992"/>
    <w:rsid w:val="00D5298F"/>
    <w:rsid w:val="00D631FF"/>
    <w:rsid w:val="00D85DC5"/>
    <w:rsid w:val="00DB6A1B"/>
    <w:rsid w:val="00DE06CD"/>
    <w:rsid w:val="00E40B73"/>
    <w:rsid w:val="00E601ED"/>
    <w:rsid w:val="00E73BDE"/>
    <w:rsid w:val="00E7729D"/>
    <w:rsid w:val="00E84D56"/>
    <w:rsid w:val="00ED18A3"/>
    <w:rsid w:val="00EE2E80"/>
    <w:rsid w:val="00F37BF5"/>
    <w:rsid w:val="00F50703"/>
    <w:rsid w:val="00F57A57"/>
    <w:rsid w:val="00F81F23"/>
    <w:rsid w:val="00F8301E"/>
    <w:rsid w:val="00F927C3"/>
    <w:rsid w:val="00FA1F7E"/>
    <w:rsid w:val="00FC3E03"/>
    <w:rsid w:val="00FC7245"/>
    <w:rsid w:val="00FD02A6"/>
    <w:rsid w:val="00FF21E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5998E"/>
  <w15:chartTrackingRefBased/>
  <w15:docId w15:val="{A839074A-5BF8-4EA3-874C-C3F2F8F8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1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9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1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1651B9-F5DC-F547-B2D5-33C3026F6674}">
  <we:reference id="f518cb36-c901-4d52-a9e7-4331342e485d" version="1.2.0.0" store="EXCatalog" storeType="EXCatalog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CB100C5-DA97-4D6F-B7A6-1FBC7E25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Ritzy Alfaro</dc:creator>
  <cp:keywords/>
  <dc:description/>
  <cp:lastModifiedBy>Siegers, S.R. (Yayah)</cp:lastModifiedBy>
  <cp:revision>2</cp:revision>
  <dcterms:created xsi:type="dcterms:W3CDTF">2024-03-07T11:16:00Z</dcterms:created>
  <dcterms:modified xsi:type="dcterms:W3CDTF">2024-03-07T11:16:00Z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47975bfb168b3cd3e8d2dc89d013369a380e2b98c382ffc551c5c388bd669f35</vt:lpwstr>
  </property>
  <property fmtid="{D5CDD505-2E9C-101B-9397-08002B2CF9AE}" pid="3" name="grammarly_documentId">
    <vt:lpwstr>documentId_898</vt:lpwstr>
  </property>
  <property fmtid="{D5CDD505-2E9C-101B-9397-08002B2CF9AE}" pid="4" name="grammarly_documentContext">
    <vt:lpwstr>{"goals":[],"domain":"general","emotions":[],"dialect":"american"}</vt:lpwstr>
  </property>
</Properties>
</file>