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10BE" w14:textId="2D8AFADA" w:rsidR="00852FC4" w:rsidRPr="00487331" w:rsidRDefault="003B2CF1" w:rsidP="008C77C0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487331">
        <w:rPr>
          <w:rFonts w:ascii="Times New Roman" w:hAnsi="Times New Roman" w:cs="Times New Roman"/>
          <w:b/>
          <w:bCs/>
          <w:sz w:val="22"/>
          <w:szCs w:val="22"/>
          <w:lang w:val="en-US"/>
        </w:rPr>
        <w:t>The Nexus between Rule of Law, Democracy, and Natural Resource Governance in Southeast Asia</w:t>
      </w:r>
    </w:p>
    <w:p w14:paraId="0FF09426" w14:textId="32415F83" w:rsidR="003B2CF1" w:rsidRPr="00DC613B" w:rsidRDefault="00BA2E8C" w:rsidP="00487331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C613B">
        <w:rPr>
          <w:rFonts w:ascii="Times New Roman" w:hAnsi="Times New Roman" w:cs="Times New Roman"/>
          <w:sz w:val="20"/>
          <w:szCs w:val="20"/>
          <w:lang w:val="en-US"/>
        </w:rPr>
        <w:t xml:space="preserve">Convener: </w:t>
      </w:r>
      <w:hyperlink r:id="rId8" w:anchor="tab-1" w:history="1">
        <w:r w:rsidR="00852FC4" w:rsidRPr="00527425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Widya Tuslian</w:t>
        </w:r>
      </w:hyperlink>
      <w:r w:rsidR="00852FC4" w:rsidRPr="00DC613B">
        <w:rPr>
          <w:rFonts w:ascii="Times New Roman" w:hAnsi="Times New Roman" w:cs="Times New Roman"/>
          <w:sz w:val="20"/>
          <w:szCs w:val="20"/>
          <w:lang w:val="en-US"/>
        </w:rPr>
        <w:t>, Van Vollenhoven Institute of Leiden Law School &amp; the KITLV Leiden, (</w:t>
      </w:r>
      <w:hyperlink r:id="rId9" w:history="1">
        <w:r w:rsidR="00487331" w:rsidRPr="00DC613B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w.n.tuslian@law.leidenuniv.nl</w:t>
        </w:r>
      </w:hyperlink>
      <w:r w:rsidR="00852FC4" w:rsidRPr="00DC613B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DC613B" w:rsidRPr="00DC613B">
        <w:rPr>
          <w:rFonts w:ascii="Times New Roman" w:hAnsi="Times New Roman" w:cs="Times New Roman"/>
          <w:sz w:val="20"/>
          <w:szCs w:val="20"/>
          <w:lang w:val="en-US"/>
        </w:rPr>
        <w:t xml:space="preserve"> (A</w:t>
      </w:r>
      <w:r w:rsidR="00DC613B">
        <w:rPr>
          <w:rFonts w:ascii="Times New Roman" w:hAnsi="Times New Roman" w:cs="Times New Roman"/>
          <w:sz w:val="20"/>
          <w:szCs w:val="20"/>
          <w:lang w:val="en-US"/>
        </w:rPr>
        <w:t>dvisors: Prof. Diana Suhardiman and Prof. Adriaan Bedner)</w:t>
      </w:r>
    </w:p>
    <w:p w14:paraId="3C08454F" w14:textId="77777777" w:rsidR="00487331" w:rsidRPr="00DC613B" w:rsidRDefault="00487331" w:rsidP="00487331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4AB1A82B" w14:textId="63971ED4" w:rsidR="00852FC4" w:rsidRDefault="00852FC4" w:rsidP="00487331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7C04CE">
        <w:rPr>
          <w:rFonts w:ascii="Times New Roman" w:hAnsi="Times New Roman" w:cs="Times New Roman"/>
          <w:b/>
          <w:bCs/>
          <w:sz w:val="22"/>
          <w:szCs w:val="22"/>
          <w:lang w:val="en-US"/>
        </w:rPr>
        <w:t>Format (</w:t>
      </w:r>
      <w:r w:rsidR="002214E2" w:rsidRPr="007C04CE">
        <w:rPr>
          <w:rFonts w:ascii="Times New Roman" w:hAnsi="Times New Roman" w:cs="Times New Roman"/>
          <w:b/>
          <w:bCs/>
          <w:sz w:val="22"/>
          <w:szCs w:val="22"/>
          <w:lang w:val="en-US"/>
        </w:rPr>
        <w:t>Alternative Format: “</w:t>
      </w:r>
      <w:r w:rsidR="00BA2E8C">
        <w:rPr>
          <w:rFonts w:ascii="Times New Roman" w:hAnsi="Times New Roman" w:cs="Times New Roman"/>
          <w:b/>
          <w:bCs/>
          <w:sz w:val="22"/>
          <w:szCs w:val="22"/>
          <w:lang w:val="en-US"/>
        </w:rPr>
        <w:t>Panel-</w:t>
      </w:r>
      <w:r w:rsidRPr="007C04CE">
        <w:rPr>
          <w:rFonts w:ascii="Times New Roman" w:hAnsi="Times New Roman" w:cs="Times New Roman"/>
          <w:b/>
          <w:bCs/>
          <w:sz w:val="22"/>
          <w:szCs w:val="22"/>
          <w:lang w:val="en-US"/>
        </w:rPr>
        <w:t>Roundtable</w:t>
      </w:r>
      <w:r w:rsidR="002214E2" w:rsidRPr="007C04CE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Discussion”</w:t>
      </w:r>
      <w:r w:rsidRPr="007C04CE">
        <w:rPr>
          <w:rFonts w:ascii="Times New Roman" w:hAnsi="Times New Roman" w:cs="Times New Roman"/>
          <w:b/>
          <w:bCs/>
          <w:sz w:val="22"/>
          <w:szCs w:val="22"/>
          <w:lang w:val="en-US"/>
        </w:rPr>
        <w:t>)</w:t>
      </w:r>
      <w:r w:rsidR="00A80D82" w:rsidRPr="007C04CE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</w:p>
    <w:p w14:paraId="2E0E315D" w14:textId="77777777" w:rsidR="00487331" w:rsidRPr="007C04CE" w:rsidRDefault="00487331" w:rsidP="00487331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87ED2D5" w14:textId="64E7274A" w:rsidR="00E05D9F" w:rsidRPr="007C04CE" w:rsidRDefault="002214E2" w:rsidP="00E05D9F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In this </w:t>
      </w:r>
      <w:r w:rsidR="00BA2E8C">
        <w:rPr>
          <w:rFonts w:ascii="Times New Roman" w:hAnsi="Times New Roman" w:cs="Times New Roman"/>
          <w:sz w:val="22"/>
          <w:szCs w:val="22"/>
          <w:lang w:val="en-US"/>
        </w:rPr>
        <w:t>session</w:t>
      </w:r>
      <w:r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, I chose </w:t>
      </w:r>
      <w:r w:rsidR="00DF1983" w:rsidRPr="007C04CE">
        <w:rPr>
          <w:rFonts w:ascii="Times New Roman" w:hAnsi="Times New Roman" w:cs="Times New Roman"/>
          <w:sz w:val="22"/>
          <w:szCs w:val="22"/>
          <w:lang w:val="en-US"/>
        </w:rPr>
        <w:t>an</w:t>
      </w:r>
      <w:r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DF1983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alternative </w:t>
      </w:r>
      <w:r w:rsidRPr="007C04CE">
        <w:rPr>
          <w:rFonts w:ascii="Times New Roman" w:hAnsi="Times New Roman" w:cs="Times New Roman"/>
          <w:sz w:val="22"/>
          <w:szCs w:val="22"/>
          <w:lang w:val="en-US"/>
        </w:rPr>
        <w:t>“</w:t>
      </w:r>
      <w:r w:rsidR="00BA2E8C">
        <w:rPr>
          <w:rFonts w:ascii="Times New Roman" w:hAnsi="Times New Roman" w:cs="Times New Roman"/>
          <w:sz w:val="22"/>
          <w:szCs w:val="22"/>
          <w:lang w:val="en-US"/>
        </w:rPr>
        <w:t>Panel-</w:t>
      </w:r>
      <w:r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Roundtable” format. Unlike traditional </w:t>
      </w:r>
      <w:r w:rsidR="00E05D9F" w:rsidRPr="007C04CE">
        <w:rPr>
          <w:rFonts w:ascii="Times New Roman" w:hAnsi="Times New Roman" w:cs="Times New Roman"/>
          <w:sz w:val="22"/>
          <w:szCs w:val="22"/>
          <w:lang w:val="en-US"/>
        </w:rPr>
        <w:t>roundtables</w:t>
      </w:r>
      <w:r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in which </w:t>
      </w:r>
      <w:r w:rsidR="00DF1983" w:rsidRPr="007C04CE">
        <w:rPr>
          <w:rFonts w:ascii="Times New Roman" w:hAnsi="Times New Roman" w:cs="Times New Roman"/>
          <w:sz w:val="22"/>
          <w:szCs w:val="22"/>
          <w:lang w:val="en-US"/>
        </w:rPr>
        <w:t>a convener ignites current issues followed by brief statements from the participants and continues with discussions, this format combines a short panel and roundtable format. It requires the participants to submit pre-circulated short papers (500-1000 words max) and a max of 10-minute on-the-spot presentations</w:t>
      </w:r>
      <w:r w:rsidR="00EC5D35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followed by discussions</w:t>
      </w:r>
      <w:r w:rsidR="00DF1983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E05D9F" w:rsidRPr="007C04CE">
        <w:rPr>
          <w:rFonts w:ascii="Times New Roman" w:hAnsi="Times New Roman" w:cs="Times New Roman"/>
          <w:sz w:val="22"/>
          <w:szCs w:val="22"/>
          <w:lang w:val="en-US"/>
        </w:rPr>
        <w:t>In</w:t>
      </w:r>
      <w:r w:rsidR="00BA2E8C">
        <w:rPr>
          <w:rFonts w:ascii="Times New Roman" w:hAnsi="Times New Roman" w:cs="Times New Roman"/>
          <w:sz w:val="22"/>
          <w:szCs w:val="22"/>
          <w:lang w:val="en-US"/>
        </w:rPr>
        <w:t xml:space="preserve"> this</w:t>
      </w:r>
      <w:r w:rsidR="00E05D9F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BA2E8C">
        <w:rPr>
          <w:rFonts w:ascii="Times New Roman" w:hAnsi="Times New Roman" w:cs="Times New Roman"/>
          <w:sz w:val="22"/>
          <w:szCs w:val="22"/>
          <w:lang w:val="en-US"/>
        </w:rPr>
        <w:t xml:space="preserve">session, </w:t>
      </w:r>
      <w:r w:rsidR="00E05D9F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I expect the participants to have expertise in natural resource governance in relation to the rule of law and democracy from various Southeast Asia countries. The participants </w:t>
      </w:r>
      <w:r w:rsidR="00DF1983" w:rsidRPr="007C04CE">
        <w:rPr>
          <w:rFonts w:ascii="Times New Roman" w:hAnsi="Times New Roman" w:cs="Times New Roman"/>
          <w:sz w:val="22"/>
          <w:szCs w:val="22"/>
          <w:lang w:val="en-US"/>
        </w:rPr>
        <w:t>would</w:t>
      </w:r>
      <w:r w:rsidR="00E05D9F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ideally</w:t>
      </w:r>
      <w:r w:rsidR="00DF1983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be </w:t>
      </w:r>
      <w:r w:rsidR="00E05D9F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legal practitioners, academicians, or any other </w:t>
      </w:r>
      <w:r w:rsidR="00DF1983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experts with a </w:t>
      </w:r>
      <w:r w:rsidR="00E05D9F" w:rsidRPr="007C04CE">
        <w:rPr>
          <w:rFonts w:ascii="Times New Roman" w:hAnsi="Times New Roman" w:cs="Times New Roman"/>
          <w:sz w:val="22"/>
          <w:szCs w:val="22"/>
          <w:lang w:val="en-US"/>
        </w:rPr>
        <w:t>social science background</w:t>
      </w:r>
      <w:r w:rsidR="00BA2E8C">
        <w:rPr>
          <w:rFonts w:ascii="Times New Roman" w:hAnsi="Times New Roman" w:cs="Times New Roman"/>
          <w:sz w:val="22"/>
          <w:szCs w:val="22"/>
          <w:lang w:val="en-US"/>
        </w:rPr>
        <w:t xml:space="preserve"> focusing on various Southeast Asia Countries</w:t>
      </w:r>
      <w:r w:rsidR="00E05D9F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</w:p>
    <w:p w14:paraId="3BF9F4CA" w14:textId="2236E07B" w:rsidR="00E7506F" w:rsidRPr="007C04CE" w:rsidRDefault="00E7506F" w:rsidP="00E05D9F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C04CE">
        <w:rPr>
          <w:rFonts w:ascii="Times New Roman" w:hAnsi="Times New Roman" w:cs="Times New Roman"/>
          <w:sz w:val="22"/>
          <w:szCs w:val="22"/>
          <w:lang w:val="en-US"/>
        </w:rPr>
        <w:tab/>
        <w:t xml:space="preserve">I chose this </w:t>
      </w:r>
      <w:r w:rsidR="00EC5D35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alternative </w:t>
      </w:r>
      <w:r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format because </w:t>
      </w:r>
      <w:r w:rsidR="003C6A72" w:rsidRPr="007C04CE">
        <w:rPr>
          <w:rFonts w:ascii="Times New Roman" w:hAnsi="Times New Roman" w:cs="Times New Roman"/>
          <w:sz w:val="22"/>
          <w:szCs w:val="22"/>
          <w:lang w:val="en-US"/>
        </w:rPr>
        <w:t>it</w:t>
      </w:r>
      <w:r w:rsidR="00EC5D35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will enable the participants to demonstrate their knowledge and experience better substantiated by pre-circulated papers and presentations. Ultimately, this format can promote substantial discussion and result in data comparison outcomes from the participants. The convener will start with </w:t>
      </w:r>
      <w:r w:rsidR="00527425">
        <w:rPr>
          <w:rFonts w:ascii="Times New Roman" w:hAnsi="Times New Roman" w:cs="Times New Roman"/>
          <w:sz w:val="22"/>
          <w:szCs w:val="22"/>
          <w:lang w:val="en-US"/>
        </w:rPr>
        <w:t xml:space="preserve">an </w:t>
      </w:r>
      <w:r w:rsidR="004405CB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opening and descriptions of current issues. A maximum of </w:t>
      </w:r>
      <w:r w:rsidR="00527425">
        <w:rPr>
          <w:rFonts w:ascii="Times New Roman" w:hAnsi="Times New Roman" w:cs="Times New Roman"/>
          <w:sz w:val="22"/>
          <w:szCs w:val="22"/>
          <w:lang w:val="en-US"/>
        </w:rPr>
        <w:t xml:space="preserve">5 </w:t>
      </w:r>
      <w:r w:rsidR="004405CB" w:rsidRPr="007C04CE">
        <w:rPr>
          <w:rFonts w:ascii="Times New Roman" w:hAnsi="Times New Roman" w:cs="Times New Roman"/>
          <w:sz w:val="22"/>
          <w:szCs w:val="22"/>
          <w:lang w:val="en-US"/>
        </w:rPr>
        <w:t>participants will present for 10 minutes each of their pre-circulated paper. Followed by discussions among participants, convener, and audience for around</w:t>
      </w:r>
      <w:r w:rsidR="00527425">
        <w:rPr>
          <w:rFonts w:ascii="Times New Roman" w:hAnsi="Times New Roman" w:cs="Times New Roman"/>
          <w:sz w:val="22"/>
          <w:szCs w:val="22"/>
          <w:lang w:val="en-US"/>
        </w:rPr>
        <w:t xml:space="preserve"> 40</w:t>
      </w:r>
      <w:r w:rsidR="004405CB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minutes. The convener will conclude the roundtable at the end of this session. </w:t>
      </w:r>
    </w:p>
    <w:p w14:paraId="760E3909" w14:textId="77777777" w:rsidR="002214E2" w:rsidRPr="007C04CE" w:rsidRDefault="002214E2" w:rsidP="003B2CF1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2C935BBB" w14:textId="62ADF28B" w:rsidR="00AC489F" w:rsidRPr="007C04CE" w:rsidRDefault="00A80D82" w:rsidP="003B2CF1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7C04CE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The </w:t>
      </w:r>
      <w:r w:rsidR="001D3374">
        <w:rPr>
          <w:rFonts w:ascii="Times New Roman" w:hAnsi="Times New Roman" w:cs="Times New Roman"/>
          <w:b/>
          <w:bCs/>
          <w:sz w:val="22"/>
          <w:szCs w:val="22"/>
          <w:lang w:val="en-US"/>
        </w:rPr>
        <w:t>Urgency</w:t>
      </w:r>
      <w:r w:rsidR="00852FC4" w:rsidRPr="007C04CE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of The </w:t>
      </w:r>
      <w:r w:rsidRPr="007C04CE">
        <w:rPr>
          <w:rFonts w:ascii="Times New Roman" w:hAnsi="Times New Roman" w:cs="Times New Roman"/>
          <w:b/>
          <w:bCs/>
          <w:sz w:val="22"/>
          <w:szCs w:val="22"/>
          <w:lang w:val="en-US"/>
        </w:rPr>
        <w:t>Topic</w:t>
      </w:r>
      <w:r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699643B9" w14:textId="77777777" w:rsidR="00852FC4" w:rsidRPr="007C04CE" w:rsidRDefault="00852FC4" w:rsidP="003B2CF1">
      <w:pPr>
        <w:rPr>
          <w:rFonts w:ascii="Times New Roman" w:hAnsi="Times New Roman" w:cs="Times New Roman"/>
          <w:sz w:val="22"/>
          <w:szCs w:val="22"/>
        </w:rPr>
      </w:pPr>
    </w:p>
    <w:p w14:paraId="052255BB" w14:textId="4617926E" w:rsidR="00A80D82" w:rsidRPr="007C04CE" w:rsidRDefault="00AC489F" w:rsidP="0047060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According to (Graham et al., 2003), natural resource governance </w:t>
      </w:r>
      <w:r w:rsidR="00852FC4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can be termed as the norms, institutions, and processes that control how power and responsibilities over natural resources are distributed and exercised, how a decision is produced, and how citizens from every group </w:t>
      </w:r>
      <w:r w:rsidR="002214E2" w:rsidRPr="007C04CE">
        <w:rPr>
          <w:rFonts w:ascii="Times New Roman" w:hAnsi="Times New Roman" w:cs="Times New Roman"/>
          <w:sz w:val="22"/>
          <w:szCs w:val="22"/>
          <w:lang w:val="en-US"/>
        </w:rPr>
        <w:t>participate</w:t>
      </w:r>
      <w:r w:rsidR="00852FC4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in and benefit from the management of the natural resource. </w:t>
      </w:r>
      <w:r w:rsidR="009372AF" w:rsidRPr="007C04CE">
        <w:rPr>
          <w:rFonts w:ascii="Times New Roman" w:hAnsi="Times New Roman" w:cs="Times New Roman"/>
          <w:sz w:val="22"/>
          <w:szCs w:val="22"/>
          <w:lang w:val="en-US"/>
        </w:rPr>
        <w:t>In this regard, the rule of law and democracy</w:t>
      </w:r>
      <w:r w:rsidR="00847650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are crucial in natural resource governance</w:t>
      </w:r>
      <w:r w:rsidR="00ED29DF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for </w:t>
      </w:r>
      <w:r w:rsidR="007869E1">
        <w:rPr>
          <w:rFonts w:ascii="Times New Roman" w:hAnsi="Times New Roman" w:cs="Times New Roman"/>
          <w:sz w:val="22"/>
          <w:szCs w:val="22"/>
          <w:lang w:val="en-US"/>
        </w:rPr>
        <w:t>some</w:t>
      </w:r>
      <w:r w:rsidR="003B626D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reasons: </w:t>
      </w:r>
      <w:r w:rsidR="00C22115" w:rsidRPr="007C04CE">
        <w:rPr>
          <w:rFonts w:ascii="Times New Roman" w:hAnsi="Times New Roman" w:cs="Times New Roman"/>
          <w:sz w:val="22"/>
          <w:szCs w:val="22"/>
          <w:lang w:val="en-US"/>
        </w:rPr>
        <w:t>As the rule of law protects citizens from the authorities and each other (Bedner,</w:t>
      </w:r>
      <w:r w:rsidR="00273A15" w:rsidRPr="007C04CE">
        <w:rPr>
          <w:rFonts w:ascii="Times New Roman" w:hAnsi="Times New Roman" w:cs="Times New Roman"/>
          <w:sz w:val="22"/>
          <w:szCs w:val="22"/>
          <w:lang w:val="en-US"/>
        </w:rPr>
        <w:t>2010</w:t>
      </w:r>
      <w:r w:rsidR="00C22115" w:rsidRPr="007C04CE">
        <w:rPr>
          <w:rFonts w:ascii="Times New Roman" w:hAnsi="Times New Roman" w:cs="Times New Roman"/>
          <w:sz w:val="22"/>
          <w:szCs w:val="22"/>
          <w:lang w:val="en-US"/>
        </w:rPr>
        <w:t>), the functioning rule of law is crucial in natural resource governance to make sure that power and</w:t>
      </w:r>
      <w:r w:rsidR="00273A15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C22115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responsibility allocation is done in </w:t>
      </w:r>
      <w:r w:rsidR="00273A15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such a way to empower all groups in societies. </w:t>
      </w:r>
      <w:r w:rsidR="008C77C0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Apart from that, a healthy democracy is pivotal to guarantee that no one is left, let alone violated, in natural resource decision-making. </w:t>
      </w:r>
      <w:r w:rsidR="007869E1">
        <w:rPr>
          <w:rFonts w:ascii="Times New Roman" w:hAnsi="Times New Roman" w:cs="Times New Roman"/>
          <w:sz w:val="22"/>
          <w:szCs w:val="22"/>
          <w:lang w:val="en-US"/>
        </w:rPr>
        <w:t>Nevertheless, i</w:t>
      </w:r>
      <w:r w:rsidR="003520C1" w:rsidRPr="007C04CE">
        <w:rPr>
          <w:rFonts w:ascii="Times New Roman" w:hAnsi="Times New Roman" w:cs="Times New Roman"/>
          <w:sz w:val="22"/>
          <w:szCs w:val="22"/>
          <w:lang w:val="en-US"/>
        </w:rPr>
        <w:t>t is common knowledge that d</w:t>
      </w:r>
      <w:r w:rsidR="008C77C0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uring the last decades, </w:t>
      </w:r>
      <w:r w:rsidR="001D7CB9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most </w:t>
      </w:r>
      <w:r w:rsidR="008C77C0" w:rsidRPr="007C04CE">
        <w:rPr>
          <w:rFonts w:ascii="Times New Roman" w:hAnsi="Times New Roman" w:cs="Times New Roman"/>
          <w:sz w:val="22"/>
          <w:szCs w:val="22"/>
          <w:lang w:val="en-US"/>
        </w:rPr>
        <w:t>Southeast Asian countries</w:t>
      </w:r>
      <w:r w:rsidR="003520C1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have experienced a </w:t>
      </w:r>
      <w:hyperlink r:id="rId10" w:history="1">
        <w:r w:rsidR="003520C1" w:rsidRPr="007C04CE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downturn</w:t>
        </w:r>
      </w:hyperlink>
      <w:r w:rsidR="003520C1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in their rule of law and democracy conditions.</w:t>
      </w:r>
      <w:r w:rsidR="008C77C0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4C1E18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Cambodia and Indonesia set an example of that. </w:t>
      </w:r>
      <w:r w:rsidR="008C6A0D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A </w:t>
      </w:r>
      <w:hyperlink r:id="rId11" w:history="1">
        <w:r w:rsidR="008C6A0D" w:rsidRPr="007C04CE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sham election</w:t>
        </w:r>
      </w:hyperlink>
      <w:r w:rsidR="008C6A0D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="003E3CD4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the </w:t>
      </w:r>
      <w:r w:rsidR="008C6A0D" w:rsidRPr="007C04CE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795C38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urrent </w:t>
      </w:r>
      <w:hyperlink r:id="rId12" w:history="1">
        <w:r w:rsidR="008C6A0D" w:rsidRPr="007C04CE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shutdown</w:t>
        </w:r>
      </w:hyperlink>
      <w:r w:rsidR="00795C38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E3CD4" w:rsidRPr="007C04CE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="008C6A0D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independent media </w:t>
      </w:r>
      <w:r w:rsidR="003E3CD4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outlets, and </w:t>
      </w:r>
      <w:hyperlink r:id="rId13" w:history="1">
        <w:r w:rsidR="003E3CD4" w:rsidRPr="007C04CE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threats</w:t>
        </w:r>
      </w:hyperlink>
      <w:r w:rsidR="003E3CD4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to youth-led natural resource and environmental defender organizations in Cambodia have proven that</w:t>
      </w:r>
      <w:r w:rsidR="001D7CB9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the rule of law and democracy do not function properly there. Meanwhile, in Indonesia, </w:t>
      </w:r>
      <w:hyperlink r:id="rId14" w:history="1">
        <w:r w:rsidR="001D7CB9" w:rsidRPr="007C04CE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threats</w:t>
        </w:r>
      </w:hyperlink>
      <w:r w:rsidR="001D7CB9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to freedom of speech by Indonesian information and electronic law</w:t>
      </w:r>
      <w:r w:rsidR="007C04CE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and highly controversial job creation law, which is said to be </w:t>
      </w:r>
      <w:hyperlink r:id="rId15" w:history="1">
        <w:r w:rsidR="007C04CE" w:rsidRPr="007C04CE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deceitful</w:t>
        </w:r>
      </w:hyperlink>
      <w:r w:rsidR="007C04CE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by some legal observers</w:t>
      </w:r>
      <w:r w:rsidR="007869E1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7C04CE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have shown that the rule of law and democracy </w:t>
      </w:r>
      <w:r w:rsidR="007869E1">
        <w:rPr>
          <w:rFonts w:ascii="Times New Roman" w:hAnsi="Times New Roman" w:cs="Times New Roman"/>
          <w:sz w:val="22"/>
          <w:szCs w:val="22"/>
          <w:lang w:val="en-US"/>
        </w:rPr>
        <w:t>are</w:t>
      </w:r>
      <w:r w:rsidR="007C04CE"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no better.</w:t>
      </w:r>
      <w:r w:rsidR="00BA2E8C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7C04CE" w:rsidRPr="007C04CE">
        <w:rPr>
          <w:rFonts w:ascii="Times New Roman" w:hAnsi="Times New Roman" w:cs="Times New Roman"/>
          <w:sz w:val="22"/>
          <w:szCs w:val="22"/>
          <w:lang w:val="en-US"/>
        </w:rPr>
        <w:t>Interestingly</w:t>
      </w:r>
      <w:r w:rsidR="00AB56FA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7C04C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AB56FA">
        <w:rPr>
          <w:rFonts w:ascii="Times New Roman" w:hAnsi="Times New Roman" w:cs="Times New Roman"/>
          <w:sz w:val="22"/>
          <w:szCs w:val="22"/>
          <w:lang w:val="en-US"/>
        </w:rPr>
        <w:t xml:space="preserve">in the decline of the rule of law and democracy conditions, these countries are also experiencing a downswing in their natural resource regimes. Persistent </w:t>
      </w:r>
      <w:hyperlink r:id="rId16" w:history="1">
        <w:r w:rsidR="00AB56FA" w:rsidRPr="00AB56FA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illegal logging</w:t>
        </w:r>
      </w:hyperlink>
      <w:r w:rsidR="00AB56FA">
        <w:rPr>
          <w:rFonts w:ascii="Times New Roman" w:hAnsi="Times New Roman" w:cs="Times New Roman"/>
          <w:sz w:val="22"/>
          <w:szCs w:val="22"/>
          <w:lang w:val="en-US"/>
        </w:rPr>
        <w:t xml:space="preserve"> in </w:t>
      </w:r>
      <w:r w:rsidR="00AB56FA" w:rsidRPr="00AB56FA">
        <w:rPr>
          <w:rStyle w:val="Emphasis"/>
          <w:rFonts w:ascii="Times New Roman" w:hAnsi="Times New Roman" w:cs="Times New Roman"/>
          <w:i w:val="0"/>
          <w:iCs w:val="0"/>
          <w:color w:val="292B2C"/>
          <w:sz w:val="22"/>
          <w:szCs w:val="22"/>
          <w:shd w:val="clear" w:color="auto" w:fill="FFFFFF"/>
        </w:rPr>
        <w:t>Chhaeb-Preah Roka Wildlife Sanctuary</w:t>
      </w:r>
      <w:r w:rsidR="00AB56FA" w:rsidRPr="00AB56FA">
        <w:rPr>
          <w:rStyle w:val="Emphasis"/>
          <w:rFonts w:ascii="Times New Roman" w:hAnsi="Times New Roman" w:cs="Times New Roman"/>
          <w:i w:val="0"/>
          <w:iCs w:val="0"/>
          <w:color w:val="292B2C"/>
          <w:sz w:val="22"/>
          <w:szCs w:val="22"/>
          <w:shd w:val="clear" w:color="auto" w:fill="FFFFFF"/>
          <w:lang w:val="en-US"/>
        </w:rPr>
        <w:t xml:space="preserve">, </w:t>
      </w:r>
      <w:hyperlink r:id="rId17" w:history="1">
        <w:r w:rsidR="00AB56FA" w:rsidRPr="00AB56FA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  <w:lang w:val="en-US"/>
          </w:rPr>
          <w:t>sand exploitation</w:t>
        </w:r>
      </w:hyperlink>
      <w:r w:rsidR="00AB56FA">
        <w:rPr>
          <w:rStyle w:val="Emphasis"/>
          <w:rFonts w:ascii="Times New Roman" w:hAnsi="Times New Roman" w:cs="Times New Roman"/>
          <w:i w:val="0"/>
          <w:iCs w:val="0"/>
          <w:color w:val="292B2C"/>
          <w:sz w:val="22"/>
          <w:szCs w:val="22"/>
          <w:shd w:val="clear" w:color="auto" w:fill="FFFFFF"/>
          <w:lang w:val="en-US"/>
        </w:rPr>
        <w:t xml:space="preserve"> in Mekong in Cambodia</w:t>
      </w:r>
      <w:r w:rsidR="00A85A1B">
        <w:rPr>
          <w:rStyle w:val="Emphasis"/>
          <w:rFonts w:ascii="Times New Roman" w:hAnsi="Times New Roman" w:cs="Times New Roman"/>
          <w:i w:val="0"/>
          <w:iCs w:val="0"/>
          <w:color w:val="292B2C"/>
          <w:sz w:val="22"/>
          <w:szCs w:val="22"/>
          <w:shd w:val="clear" w:color="auto" w:fill="FFFFFF"/>
          <w:lang w:val="en-US"/>
        </w:rPr>
        <w:t xml:space="preserve">; </w:t>
      </w:r>
      <w:r w:rsidR="0047060C">
        <w:rPr>
          <w:rStyle w:val="Emphasis"/>
          <w:rFonts w:ascii="Times New Roman" w:hAnsi="Times New Roman" w:cs="Times New Roman"/>
          <w:i w:val="0"/>
          <w:iCs w:val="0"/>
          <w:color w:val="292B2C"/>
          <w:sz w:val="22"/>
          <w:szCs w:val="22"/>
          <w:shd w:val="clear" w:color="auto" w:fill="FFFFFF"/>
          <w:lang w:val="en-US"/>
        </w:rPr>
        <w:t xml:space="preserve">and </w:t>
      </w:r>
      <w:hyperlink r:id="rId18" w:history="1">
        <w:r w:rsidR="00A85A1B" w:rsidRPr="00A85A1B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  <w:lang w:val="en-US"/>
          </w:rPr>
          <w:t>Coal pollution</w:t>
        </w:r>
      </w:hyperlink>
      <w:r w:rsidR="00A85A1B">
        <w:rPr>
          <w:rStyle w:val="Emphasis"/>
          <w:rFonts w:ascii="Times New Roman" w:hAnsi="Times New Roman" w:cs="Times New Roman"/>
          <w:i w:val="0"/>
          <w:iCs w:val="0"/>
          <w:color w:val="292B2C"/>
          <w:sz w:val="22"/>
          <w:szCs w:val="22"/>
          <w:shd w:val="clear" w:color="auto" w:fill="FFFFFF"/>
          <w:lang w:val="en-US"/>
        </w:rPr>
        <w:t xml:space="preserve">, water mismanagement, </w:t>
      </w:r>
      <w:r w:rsidR="0047060C">
        <w:rPr>
          <w:rStyle w:val="Emphasis"/>
          <w:rFonts w:ascii="Times New Roman" w:hAnsi="Times New Roman" w:cs="Times New Roman"/>
          <w:i w:val="0"/>
          <w:iCs w:val="0"/>
          <w:color w:val="292B2C"/>
          <w:sz w:val="22"/>
          <w:szCs w:val="22"/>
          <w:shd w:val="clear" w:color="auto" w:fill="FFFFFF"/>
          <w:lang w:val="en-US"/>
        </w:rPr>
        <w:t>and palm oil exploitation</w:t>
      </w:r>
      <w:r w:rsidR="0047060C">
        <w:rPr>
          <w:rFonts w:ascii="Times New Roman" w:hAnsi="Times New Roman" w:cs="Times New Roman"/>
          <w:sz w:val="22"/>
          <w:szCs w:val="22"/>
          <w:lang w:val="en-US"/>
        </w:rPr>
        <w:t xml:space="preserve"> in Indonesia are some instances of natural resource issues amidst the retrograde of the rule of law and democracy. </w:t>
      </w:r>
      <w:r w:rsidR="00487331">
        <w:rPr>
          <w:rFonts w:ascii="Times New Roman" w:hAnsi="Times New Roman" w:cs="Times New Roman"/>
          <w:sz w:val="22"/>
          <w:szCs w:val="22"/>
          <w:lang w:val="en-US"/>
        </w:rPr>
        <w:t>In view of</w:t>
      </w:r>
      <w:r w:rsidR="0047060C">
        <w:rPr>
          <w:rFonts w:ascii="Times New Roman" w:hAnsi="Times New Roman" w:cs="Times New Roman"/>
          <w:sz w:val="22"/>
          <w:szCs w:val="22"/>
          <w:lang w:val="en-US"/>
        </w:rPr>
        <w:t xml:space="preserve"> that</w:t>
      </w:r>
      <w:r w:rsidR="00487331">
        <w:rPr>
          <w:rFonts w:ascii="Times New Roman" w:hAnsi="Times New Roman" w:cs="Times New Roman"/>
          <w:sz w:val="22"/>
          <w:szCs w:val="22"/>
          <w:lang w:val="en-US"/>
        </w:rPr>
        <w:t>,</w:t>
      </w:r>
      <w:r w:rsidR="0047060C">
        <w:rPr>
          <w:rFonts w:ascii="Times New Roman" w:hAnsi="Times New Roman" w:cs="Times New Roman"/>
          <w:sz w:val="22"/>
          <w:szCs w:val="22"/>
          <w:lang w:val="en-US"/>
        </w:rPr>
        <w:t xml:space="preserve"> this session will explore the nexus between the rule of law</w:t>
      </w:r>
      <w:r w:rsidR="00BA2E8C">
        <w:rPr>
          <w:rFonts w:ascii="Times New Roman" w:hAnsi="Times New Roman" w:cs="Times New Roman"/>
          <w:sz w:val="22"/>
          <w:szCs w:val="22"/>
          <w:lang w:val="en-US"/>
        </w:rPr>
        <w:t xml:space="preserve">, democratic </w:t>
      </w:r>
      <w:r w:rsidR="0047060C">
        <w:rPr>
          <w:rFonts w:ascii="Times New Roman" w:hAnsi="Times New Roman" w:cs="Times New Roman"/>
          <w:sz w:val="22"/>
          <w:szCs w:val="22"/>
          <w:lang w:val="en-US"/>
        </w:rPr>
        <w:t>situation</w:t>
      </w:r>
      <w:r w:rsidR="00BA2E8C">
        <w:rPr>
          <w:rFonts w:ascii="Times New Roman" w:hAnsi="Times New Roman" w:cs="Times New Roman"/>
          <w:sz w:val="22"/>
          <w:szCs w:val="22"/>
          <w:lang w:val="en-US"/>
        </w:rPr>
        <w:t>, and natural resource governance</w:t>
      </w:r>
      <w:r w:rsidR="0047060C">
        <w:rPr>
          <w:rFonts w:ascii="Times New Roman" w:hAnsi="Times New Roman" w:cs="Times New Roman"/>
          <w:sz w:val="22"/>
          <w:szCs w:val="22"/>
          <w:lang w:val="en-US"/>
        </w:rPr>
        <w:t xml:space="preserve"> in Southeast Asian countries</w:t>
      </w:r>
      <w:r w:rsidR="00487331">
        <w:rPr>
          <w:rFonts w:ascii="Times New Roman" w:hAnsi="Times New Roman" w:cs="Times New Roman"/>
          <w:sz w:val="22"/>
          <w:szCs w:val="22"/>
          <w:lang w:val="en-US"/>
        </w:rPr>
        <w:t xml:space="preserve"> by reflecting on the following: </w:t>
      </w:r>
    </w:p>
    <w:p w14:paraId="35C0C927" w14:textId="77777777" w:rsidR="00A80D82" w:rsidRPr="007C04CE" w:rsidRDefault="00A80D82" w:rsidP="00A80D82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 w:rsidRPr="007C04CE">
        <w:rPr>
          <w:rFonts w:ascii="Times New Roman" w:hAnsi="Times New Roman" w:cs="Times New Roman"/>
          <w:sz w:val="22"/>
          <w:szCs w:val="22"/>
        </w:rPr>
        <w:t>What are the linkages between</w:t>
      </w:r>
      <w:r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democracy, the rule of law decline,</w:t>
      </w:r>
      <w:r w:rsidRPr="007C04CE">
        <w:rPr>
          <w:rFonts w:ascii="Times New Roman" w:hAnsi="Times New Roman" w:cs="Times New Roman"/>
          <w:sz w:val="22"/>
          <w:szCs w:val="22"/>
        </w:rPr>
        <w:t xml:space="preserve"> and the</w:t>
      </w:r>
      <w:r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deterioration of</w:t>
      </w:r>
      <w:r w:rsidRPr="007C04CE">
        <w:rPr>
          <w:rFonts w:ascii="Times New Roman" w:hAnsi="Times New Roman" w:cs="Times New Roman"/>
          <w:sz w:val="22"/>
          <w:szCs w:val="22"/>
        </w:rPr>
        <w:t xml:space="preserve"> natural resource regimes</w:t>
      </w:r>
      <w:r w:rsidRPr="007C04CE">
        <w:rPr>
          <w:rFonts w:ascii="Times New Roman" w:hAnsi="Times New Roman" w:cs="Times New Roman"/>
          <w:sz w:val="22"/>
          <w:szCs w:val="22"/>
          <w:lang w:val="en-US"/>
        </w:rPr>
        <w:t xml:space="preserve"> in Southeast Asia</w:t>
      </w:r>
      <w:r w:rsidRPr="007C04CE">
        <w:rPr>
          <w:rFonts w:ascii="Times New Roman" w:hAnsi="Times New Roman" w:cs="Times New Roman"/>
          <w:sz w:val="22"/>
          <w:szCs w:val="22"/>
        </w:rPr>
        <w:t>?</w:t>
      </w:r>
    </w:p>
    <w:p w14:paraId="3343A4B9" w14:textId="77777777" w:rsidR="00A80D82" w:rsidRPr="007C04CE" w:rsidRDefault="00A80D82" w:rsidP="00A80D82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 w:rsidRPr="007C04CE">
        <w:rPr>
          <w:rFonts w:ascii="Times New Roman" w:hAnsi="Times New Roman" w:cs="Times New Roman"/>
          <w:color w:val="000000"/>
          <w:kern w:val="0"/>
          <w:sz w:val="22"/>
          <w:szCs w:val="22"/>
          <w:lang w:val="en-US"/>
        </w:rPr>
        <w:t xml:space="preserve"> </w:t>
      </w:r>
      <w:r w:rsidRPr="007C04CE"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What’s the role of development agencies in natural resource governance in Southeast Asia? </w:t>
      </w:r>
    </w:p>
    <w:p w14:paraId="67011DAB" w14:textId="77777777" w:rsidR="00A80D82" w:rsidRPr="007C04CE" w:rsidRDefault="00A80D82" w:rsidP="00A80D82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 w:rsidRPr="007C04CE"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  <w:t xml:space="preserve">What investments or activities by local or multinational companies shore up or undermine natural resource regimes in Southeast Asia? </w:t>
      </w:r>
    </w:p>
    <w:p w14:paraId="4FD72288" w14:textId="1CC9B409" w:rsidR="00A80D82" w:rsidRPr="00487331" w:rsidRDefault="00A80D82" w:rsidP="003B2CF1">
      <w:pPr>
        <w:pStyle w:val="ListParagraph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0"/>
          <w:sz w:val="22"/>
          <w:szCs w:val="22"/>
          <w:lang w:val="en-GB"/>
        </w:rPr>
      </w:pPr>
      <w:r w:rsidRPr="007C04CE">
        <w:rPr>
          <w:rFonts w:ascii="Times New Roman" w:hAnsi="Times New Roman" w:cs="Times New Roman"/>
          <w:sz w:val="22"/>
          <w:szCs w:val="22"/>
          <w:lang w:val="en-US"/>
        </w:rPr>
        <w:t>What are the states' and development agencies' outlooks on the role of common property regimes over natural resource governance?</w:t>
      </w:r>
    </w:p>
    <w:sectPr w:rsidR="00A80D82" w:rsidRPr="00487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EF02" w14:textId="77777777" w:rsidR="00244545" w:rsidRDefault="00244545" w:rsidP="003520C1">
      <w:r>
        <w:separator/>
      </w:r>
    </w:p>
  </w:endnote>
  <w:endnote w:type="continuationSeparator" w:id="0">
    <w:p w14:paraId="18D90CD8" w14:textId="77777777" w:rsidR="00244545" w:rsidRDefault="00244545" w:rsidP="0035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E76B" w14:textId="77777777" w:rsidR="00244545" w:rsidRDefault="00244545" w:rsidP="003520C1">
      <w:r>
        <w:separator/>
      </w:r>
    </w:p>
  </w:footnote>
  <w:footnote w:type="continuationSeparator" w:id="0">
    <w:p w14:paraId="393CBA2D" w14:textId="77777777" w:rsidR="00244545" w:rsidRDefault="00244545" w:rsidP="0035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4604"/>
    <w:multiLevelType w:val="hybridMultilevel"/>
    <w:tmpl w:val="09A2053E"/>
    <w:lvl w:ilvl="0" w:tplc="A9F6DA1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AB78E4"/>
    <w:multiLevelType w:val="hybridMultilevel"/>
    <w:tmpl w:val="3F60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93301">
    <w:abstractNumId w:val="0"/>
  </w:num>
  <w:num w:numId="2" w16cid:durableId="635571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F1"/>
    <w:rsid w:val="0008124E"/>
    <w:rsid w:val="001176B2"/>
    <w:rsid w:val="0012543C"/>
    <w:rsid w:val="001D3374"/>
    <w:rsid w:val="001D7CB9"/>
    <w:rsid w:val="002214E2"/>
    <w:rsid w:val="00244545"/>
    <w:rsid w:val="00273A15"/>
    <w:rsid w:val="003520C1"/>
    <w:rsid w:val="003B2CF1"/>
    <w:rsid w:val="003B626D"/>
    <w:rsid w:val="003C6A72"/>
    <w:rsid w:val="003E3CD4"/>
    <w:rsid w:val="004405CB"/>
    <w:rsid w:val="0045115B"/>
    <w:rsid w:val="0047060C"/>
    <w:rsid w:val="00487331"/>
    <w:rsid w:val="004B1CAF"/>
    <w:rsid w:val="004C1E18"/>
    <w:rsid w:val="00527425"/>
    <w:rsid w:val="005900CB"/>
    <w:rsid w:val="007869E1"/>
    <w:rsid w:val="00795C38"/>
    <w:rsid w:val="007C04CE"/>
    <w:rsid w:val="00847650"/>
    <w:rsid w:val="00852FC4"/>
    <w:rsid w:val="008C6A0D"/>
    <w:rsid w:val="008C77C0"/>
    <w:rsid w:val="009372AF"/>
    <w:rsid w:val="009F754A"/>
    <w:rsid w:val="00A80D82"/>
    <w:rsid w:val="00A85A1B"/>
    <w:rsid w:val="00AB56FA"/>
    <w:rsid w:val="00AC0638"/>
    <w:rsid w:val="00AC489F"/>
    <w:rsid w:val="00BA2E8C"/>
    <w:rsid w:val="00C22115"/>
    <w:rsid w:val="00D650F5"/>
    <w:rsid w:val="00D85A7A"/>
    <w:rsid w:val="00DC613B"/>
    <w:rsid w:val="00DF1983"/>
    <w:rsid w:val="00E05D9F"/>
    <w:rsid w:val="00E7506F"/>
    <w:rsid w:val="00EC5D35"/>
    <w:rsid w:val="00ED29DF"/>
    <w:rsid w:val="00F2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A0DE"/>
  <w15:chartTrackingRefBased/>
  <w15:docId w15:val="{877495AC-17F5-A643-97EE-DD1FA4B8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C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520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20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20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52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0C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AB56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itleiden.nl/en/staffmembers/widya-tuslian" TargetMode="External"/><Relationship Id="rId13" Type="http://schemas.openxmlformats.org/officeDocument/2006/relationships/hyperlink" Target="https://rightlivelihood.org/news/mother-nature-cambodia-receives-the-prestigious-right-livelihood-award-for-protecting-nature-and-standing-up-for-democracy/" TargetMode="External"/><Relationship Id="rId18" Type="http://schemas.openxmlformats.org/officeDocument/2006/relationships/hyperlink" Target="https://news.mongabay.com/2023/08/activists-slam-coal-pollution-from-indonesias-production-of-clean-batter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banet.org/media-freedom-cambodia-democracy" TargetMode="External"/><Relationship Id="rId17" Type="http://schemas.openxmlformats.org/officeDocument/2006/relationships/hyperlink" Target="https://news.mongabay.com/2020/08/in-cambodia-a-sweeping-new-environment-code-languishes-in-legal-limb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s.mongabay.com/2023/10/communities-track-a-path-of-destruction-through-a-cambodian-wildlife-sanctuary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fr.org/in-brief/cambodias-elections-no-surprises-uncertain-leadership-futu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s.republika.co.id/berita/ro0dsy436/bivitri-perppu-cipta-kerja-bentuk-keculasan-pemerintah?" TargetMode="External"/><Relationship Id="rId10" Type="http://schemas.openxmlformats.org/officeDocument/2006/relationships/hyperlink" Target="https://www.economist.com/asia/2023/08/31/south-east-asian-democracy-is-declinin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.n.tuslian@law.leidenuniv.nl" TargetMode="External"/><Relationship Id="rId14" Type="http://schemas.openxmlformats.org/officeDocument/2006/relationships/hyperlink" Target="https://indonesiaatmelbourne.unimelb.edu.au/talking-indonesia-democracy-under-thre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2ACF7B-9057-554E-9046-A657DBCF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Tuslian, W.N. (Widya)</dc:creator>
  <cp:keywords/>
  <dc:description/>
  <cp:lastModifiedBy>Siegers, S.R. (Yayah)</cp:lastModifiedBy>
  <cp:revision>2</cp:revision>
  <dcterms:created xsi:type="dcterms:W3CDTF">2023-11-29T09:53:00Z</dcterms:created>
  <dcterms:modified xsi:type="dcterms:W3CDTF">2023-11-29T09:53:00Z</dcterms:modified>
</cp:coreProperties>
</file>