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4C1B" w14:textId="77777777" w:rsidR="00FF1F2B" w:rsidRDefault="00FF1F2B" w:rsidP="004B1874">
      <w:pPr>
        <w:jc w:val="center"/>
        <w:rPr>
          <w:b/>
          <w:color w:val="3B3838" w:themeColor="background2" w:themeShade="40"/>
        </w:rPr>
      </w:pPr>
    </w:p>
    <w:p w14:paraId="520D8C44" w14:textId="77777777" w:rsidR="00FF1F2B" w:rsidRDefault="00FF1F2B" w:rsidP="004B1874">
      <w:pPr>
        <w:jc w:val="center"/>
        <w:rPr>
          <w:b/>
          <w:color w:val="3B3838" w:themeColor="background2" w:themeShade="40"/>
        </w:rPr>
      </w:pPr>
    </w:p>
    <w:p w14:paraId="285C163C" w14:textId="77777777" w:rsidR="00FF1F2B" w:rsidRDefault="00FF1F2B" w:rsidP="003114DD">
      <w:pPr>
        <w:rPr>
          <w:b/>
          <w:color w:val="3B3838" w:themeColor="background2" w:themeShade="40"/>
        </w:rPr>
      </w:pPr>
    </w:p>
    <w:p w14:paraId="42D50A90" w14:textId="77777777" w:rsidR="00FF1F2B" w:rsidRDefault="00FF1F2B" w:rsidP="004B1874">
      <w:pPr>
        <w:jc w:val="center"/>
        <w:rPr>
          <w:b/>
          <w:color w:val="3B3838" w:themeColor="background2" w:themeShade="40"/>
        </w:rPr>
      </w:pPr>
    </w:p>
    <w:p w14:paraId="4D135CDF" w14:textId="77777777" w:rsidR="00FF1F2B" w:rsidRDefault="00FF1F2B" w:rsidP="004B1874">
      <w:pPr>
        <w:jc w:val="center"/>
        <w:rPr>
          <w:b/>
          <w:color w:val="3B3838" w:themeColor="background2" w:themeShade="40"/>
        </w:rPr>
      </w:pPr>
    </w:p>
    <w:p w14:paraId="58256235" w14:textId="10E31A91" w:rsidR="004B1874" w:rsidRPr="00FF1F2B" w:rsidRDefault="002555A2" w:rsidP="004B1874">
      <w:pPr>
        <w:jc w:val="center"/>
        <w:rPr>
          <w:b/>
          <w:color w:val="3B3838" w:themeColor="background2" w:themeShade="40"/>
          <w:sz w:val="28"/>
          <w:szCs w:val="28"/>
        </w:rPr>
      </w:pPr>
      <w:r w:rsidRPr="00FF1F2B">
        <w:rPr>
          <w:b/>
          <w:color w:val="3B3838" w:themeColor="background2" w:themeShade="40"/>
          <w:sz w:val="28"/>
          <w:szCs w:val="28"/>
        </w:rPr>
        <w:t xml:space="preserve"> </w:t>
      </w:r>
      <w:r w:rsidR="004B1874" w:rsidRPr="00FF1F2B">
        <w:rPr>
          <w:b/>
          <w:color w:val="3B3838" w:themeColor="background2" w:themeShade="40"/>
          <w:sz w:val="28"/>
          <w:szCs w:val="28"/>
        </w:rPr>
        <w:t>The European Association for Southeast Asian Studies</w:t>
      </w:r>
    </w:p>
    <w:p w14:paraId="5C395A06" w14:textId="7485A27C" w:rsidR="004B1874" w:rsidRPr="00FF1F2B" w:rsidRDefault="004B1874" w:rsidP="004B1874">
      <w:pPr>
        <w:jc w:val="center"/>
        <w:rPr>
          <w:color w:val="3B3838" w:themeColor="background2" w:themeShade="40"/>
          <w:sz w:val="28"/>
          <w:szCs w:val="28"/>
          <w:lang/>
        </w:rPr>
      </w:pPr>
      <w:r w:rsidRPr="00FF1F2B">
        <w:rPr>
          <w:color w:val="3B3838" w:themeColor="background2" w:themeShade="40"/>
          <w:sz w:val="28"/>
          <w:szCs w:val="28"/>
          <w:lang/>
        </w:rPr>
        <w:t>Conference dates: 23 July – 25 July 2024 with excursion on 26 July</w:t>
      </w:r>
    </w:p>
    <w:p w14:paraId="1F3F76E4" w14:textId="6059EA7D" w:rsidR="004B1874" w:rsidRPr="001D7E6F" w:rsidRDefault="004B1874" w:rsidP="004B1874">
      <w:pPr>
        <w:jc w:val="center"/>
        <w:rPr>
          <w:color w:val="3B3838" w:themeColor="background2" w:themeShade="40"/>
          <w:sz w:val="24"/>
          <w:szCs w:val="24"/>
          <w:lang/>
        </w:rPr>
      </w:pPr>
      <w:r w:rsidRPr="00FF1F2B">
        <w:rPr>
          <w:color w:val="3B3838" w:themeColor="background2" w:themeShade="40"/>
          <w:sz w:val="28"/>
          <w:szCs w:val="28"/>
          <w:lang/>
        </w:rPr>
        <w:t>Venue: Roeterseiland Campus, University of Amsterdam, The Netherlands</w:t>
      </w:r>
    </w:p>
    <w:p w14:paraId="2F41D237" w14:textId="77777777" w:rsidR="004B1874" w:rsidRDefault="004B1874" w:rsidP="004B1874">
      <w:pPr>
        <w:jc w:val="center"/>
        <w:rPr>
          <w:b/>
        </w:rPr>
      </w:pPr>
    </w:p>
    <w:p w14:paraId="6F31DDEC" w14:textId="77777777" w:rsidR="004B1874" w:rsidRDefault="004B1874" w:rsidP="004B1874">
      <w:pPr>
        <w:jc w:val="center"/>
        <w:rPr>
          <w:b/>
        </w:rPr>
      </w:pPr>
    </w:p>
    <w:p w14:paraId="4BDEDD9A" w14:textId="09690B12" w:rsidR="004B1874" w:rsidRPr="004D0B17" w:rsidRDefault="004B1874" w:rsidP="004B1874">
      <w:pPr>
        <w:jc w:val="center"/>
        <w:rPr>
          <w:b/>
          <w:sz w:val="24"/>
          <w:szCs w:val="24"/>
        </w:rPr>
      </w:pPr>
      <w:r w:rsidRPr="004D0B17">
        <w:rPr>
          <w:b/>
          <w:sz w:val="24"/>
          <w:szCs w:val="24"/>
        </w:rPr>
        <w:t>PROPOSAL FOR PANEL</w:t>
      </w:r>
    </w:p>
    <w:p w14:paraId="0AA3FE5D" w14:textId="5061DFF8" w:rsidR="00E12019" w:rsidRDefault="00000000" w:rsidP="004B1874">
      <w:pPr>
        <w:jc w:val="center"/>
        <w:rPr>
          <w:b/>
        </w:rPr>
      </w:pPr>
      <w:r>
        <w:rPr>
          <w:noProof/>
        </w:rPr>
        <w:pict w14:anchorId="55DA110C">
          <v:rect id="_x0000_i1025" alt="" style="width:468pt;height:.05pt;mso-width-percent:0;mso-height-percent:0;mso-width-percent:0;mso-height-percent:0" o:hralign="center" o:hrstd="t" o:hr="t" fillcolor="#a0a0a0" stroked="f"/>
        </w:pict>
      </w:r>
    </w:p>
    <w:tbl>
      <w:tblPr>
        <w:tblStyle w:val="TableGrid"/>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347"/>
        <w:gridCol w:w="7484"/>
      </w:tblGrid>
      <w:tr w:rsidR="00CB71AE" w:rsidRPr="00754C60" w14:paraId="53688218" w14:textId="77777777" w:rsidTr="00E12019">
        <w:trPr>
          <w:trHeight w:val="344"/>
          <w:jc w:val="center"/>
        </w:trPr>
        <w:tc>
          <w:tcPr>
            <w:tcW w:w="1520" w:type="dxa"/>
          </w:tcPr>
          <w:p w14:paraId="0664C8B8" w14:textId="2C70C648" w:rsidR="00985979" w:rsidRPr="00754C60" w:rsidRDefault="00985979" w:rsidP="00754C60">
            <w:pPr>
              <w:spacing w:line="240" w:lineRule="auto"/>
              <w:jc w:val="both"/>
              <w:rPr>
                <w:bCs/>
              </w:rPr>
            </w:pPr>
            <w:r w:rsidRPr="00754C60">
              <w:rPr>
                <w:bCs/>
              </w:rPr>
              <w:t>Format</w:t>
            </w:r>
          </w:p>
        </w:tc>
        <w:tc>
          <w:tcPr>
            <w:tcW w:w="347" w:type="dxa"/>
          </w:tcPr>
          <w:p w14:paraId="6374E2C7" w14:textId="00D3C0B5" w:rsidR="00985979" w:rsidRPr="00754C60" w:rsidRDefault="00985979" w:rsidP="00754C60">
            <w:pPr>
              <w:spacing w:line="240" w:lineRule="auto"/>
              <w:jc w:val="center"/>
              <w:rPr>
                <w:bCs/>
              </w:rPr>
            </w:pPr>
            <w:r w:rsidRPr="00754C60">
              <w:rPr>
                <w:bCs/>
              </w:rPr>
              <w:t>:</w:t>
            </w:r>
          </w:p>
        </w:tc>
        <w:tc>
          <w:tcPr>
            <w:tcW w:w="7484" w:type="dxa"/>
          </w:tcPr>
          <w:p w14:paraId="70E0A94F" w14:textId="55C969E5" w:rsidR="00985979" w:rsidRPr="00754C60" w:rsidRDefault="00F10D5F" w:rsidP="00754C60">
            <w:pPr>
              <w:spacing w:line="240" w:lineRule="auto"/>
              <w:jc w:val="both"/>
              <w:rPr>
                <w:bCs/>
              </w:rPr>
            </w:pPr>
            <w:r w:rsidRPr="00754C60">
              <w:rPr>
                <w:bCs/>
              </w:rPr>
              <w:t>Alternative Format</w:t>
            </w:r>
            <w:r w:rsidR="00E77473" w:rsidRPr="00754C60">
              <w:rPr>
                <w:bCs/>
              </w:rPr>
              <w:t xml:space="preserve">: </w:t>
            </w:r>
            <w:r w:rsidR="00E77473" w:rsidRPr="007F1F57">
              <w:rPr>
                <w:bCs/>
                <w:highlight w:val="yellow"/>
              </w:rPr>
              <w:t>Panel – Roundtable</w:t>
            </w:r>
            <w:r w:rsidR="001F34B1" w:rsidRPr="007F1F57">
              <w:rPr>
                <w:bCs/>
                <w:highlight w:val="yellow"/>
              </w:rPr>
              <w:t>s</w:t>
            </w:r>
          </w:p>
          <w:p w14:paraId="162CE561" w14:textId="20C42208" w:rsidR="00754C60" w:rsidRPr="00754C60" w:rsidRDefault="00754C60" w:rsidP="00754C60">
            <w:pPr>
              <w:spacing w:line="240" w:lineRule="auto"/>
              <w:jc w:val="both"/>
              <w:rPr>
                <w:bCs/>
              </w:rPr>
            </w:pPr>
          </w:p>
        </w:tc>
      </w:tr>
      <w:tr w:rsidR="00CB71AE" w:rsidRPr="00754C60" w14:paraId="02023657" w14:textId="77777777" w:rsidTr="00E12019">
        <w:trPr>
          <w:trHeight w:val="365"/>
          <w:jc w:val="center"/>
        </w:trPr>
        <w:tc>
          <w:tcPr>
            <w:tcW w:w="1520" w:type="dxa"/>
          </w:tcPr>
          <w:p w14:paraId="6B53B3F9" w14:textId="1D453B1D" w:rsidR="00985979" w:rsidRPr="00754C60" w:rsidRDefault="00985979" w:rsidP="00754C60">
            <w:pPr>
              <w:spacing w:line="240" w:lineRule="auto"/>
              <w:jc w:val="both"/>
              <w:rPr>
                <w:bCs/>
              </w:rPr>
            </w:pPr>
            <w:r w:rsidRPr="00754C60">
              <w:rPr>
                <w:bCs/>
              </w:rPr>
              <w:t>Panel Title</w:t>
            </w:r>
          </w:p>
        </w:tc>
        <w:tc>
          <w:tcPr>
            <w:tcW w:w="347" w:type="dxa"/>
          </w:tcPr>
          <w:p w14:paraId="052C4ED2" w14:textId="569492A1" w:rsidR="00985979" w:rsidRPr="00754C60" w:rsidRDefault="00985979" w:rsidP="00754C60">
            <w:pPr>
              <w:spacing w:line="240" w:lineRule="auto"/>
              <w:jc w:val="center"/>
              <w:rPr>
                <w:bCs/>
              </w:rPr>
            </w:pPr>
            <w:r w:rsidRPr="00754C60">
              <w:rPr>
                <w:bCs/>
              </w:rPr>
              <w:t>:</w:t>
            </w:r>
          </w:p>
        </w:tc>
        <w:tc>
          <w:tcPr>
            <w:tcW w:w="7484" w:type="dxa"/>
          </w:tcPr>
          <w:p w14:paraId="3CC20D99" w14:textId="77777777" w:rsidR="00FB4289" w:rsidRPr="00754C60" w:rsidRDefault="00FB4289" w:rsidP="00754C60">
            <w:pPr>
              <w:spacing w:line="240" w:lineRule="auto"/>
              <w:jc w:val="both"/>
              <w:rPr>
                <w:bCs/>
              </w:rPr>
            </w:pPr>
            <w:r w:rsidRPr="00754C60">
              <w:rPr>
                <w:bCs/>
              </w:rPr>
              <w:t>Globalization &amp; Knowledge Economy: Assessing Issues on Learning &amp; Education in Post-Pandemic South(East) Asia</w:t>
            </w:r>
          </w:p>
          <w:p w14:paraId="0FD88F68" w14:textId="3EAA2782" w:rsidR="00754C60" w:rsidRPr="00754C60" w:rsidRDefault="00754C60" w:rsidP="00754C60">
            <w:pPr>
              <w:spacing w:line="240" w:lineRule="auto"/>
              <w:jc w:val="both"/>
              <w:rPr>
                <w:bCs/>
              </w:rPr>
            </w:pPr>
          </w:p>
        </w:tc>
      </w:tr>
      <w:tr w:rsidR="00985979" w:rsidRPr="00754C60" w14:paraId="57362B87" w14:textId="77777777" w:rsidTr="00E12019">
        <w:trPr>
          <w:trHeight w:val="365"/>
          <w:jc w:val="center"/>
        </w:trPr>
        <w:tc>
          <w:tcPr>
            <w:tcW w:w="1520" w:type="dxa"/>
          </w:tcPr>
          <w:p w14:paraId="54AB5151" w14:textId="6196B221" w:rsidR="00985979" w:rsidRPr="00754C60" w:rsidRDefault="00985979" w:rsidP="00754C60">
            <w:pPr>
              <w:spacing w:line="240" w:lineRule="auto"/>
              <w:jc w:val="both"/>
              <w:rPr>
                <w:bCs/>
              </w:rPr>
            </w:pPr>
            <w:r w:rsidRPr="00754C60">
              <w:rPr>
                <w:color w:val="000000"/>
                <w:shd w:val="clear" w:color="auto" w:fill="FFFFFF"/>
              </w:rPr>
              <w:t>Convener</w:t>
            </w:r>
          </w:p>
        </w:tc>
        <w:tc>
          <w:tcPr>
            <w:tcW w:w="347" w:type="dxa"/>
          </w:tcPr>
          <w:p w14:paraId="4B5B8371" w14:textId="784E5BB7" w:rsidR="00985979" w:rsidRPr="00754C60" w:rsidRDefault="00985979" w:rsidP="00754C60">
            <w:pPr>
              <w:spacing w:line="240" w:lineRule="auto"/>
              <w:jc w:val="center"/>
              <w:rPr>
                <w:bCs/>
              </w:rPr>
            </w:pPr>
            <w:r w:rsidRPr="00754C60">
              <w:rPr>
                <w:bCs/>
              </w:rPr>
              <w:t>:</w:t>
            </w:r>
          </w:p>
        </w:tc>
        <w:tc>
          <w:tcPr>
            <w:tcW w:w="7484" w:type="dxa"/>
          </w:tcPr>
          <w:p w14:paraId="596FA2C8" w14:textId="238AEB8C" w:rsidR="00CB71AE" w:rsidRPr="00754C60" w:rsidRDefault="00CB71AE" w:rsidP="00754C60">
            <w:pPr>
              <w:spacing w:line="240" w:lineRule="auto"/>
              <w:jc w:val="both"/>
              <w:rPr>
                <w:bCs/>
              </w:rPr>
            </w:pPr>
            <w:r w:rsidRPr="00754C60">
              <w:rPr>
                <w:bCs/>
              </w:rPr>
              <w:t>Adiasri Putri Purbantina, Ph.D. (</w:t>
            </w:r>
            <w:hyperlink r:id="rId6" w:history="1">
              <w:r w:rsidRPr="00754C60">
                <w:rPr>
                  <w:rStyle w:val="Hyperlink"/>
                  <w:bCs/>
                </w:rPr>
                <w:t>adiasri.hi@upnjatim.ac.id</w:t>
              </w:r>
            </w:hyperlink>
            <w:r w:rsidRPr="00754C60">
              <w:rPr>
                <w:bCs/>
              </w:rPr>
              <w:t xml:space="preserve">) </w:t>
            </w:r>
          </w:p>
          <w:p w14:paraId="0DB61F03" w14:textId="77777777" w:rsidR="00985979" w:rsidRPr="00754C60" w:rsidRDefault="00CB71AE" w:rsidP="00754C60">
            <w:pPr>
              <w:spacing w:line="240" w:lineRule="auto"/>
              <w:jc w:val="both"/>
              <w:rPr>
                <w:bCs/>
              </w:rPr>
            </w:pPr>
            <w:r w:rsidRPr="00754C60">
              <w:rPr>
                <w:bCs/>
              </w:rPr>
              <w:t xml:space="preserve">University of Pembangunan Nasional “Veteran” Jawa Timur, </w:t>
            </w:r>
            <w:r w:rsidR="005B61DA" w:rsidRPr="00754C60">
              <w:rPr>
                <w:bCs/>
              </w:rPr>
              <w:t>INDONESIA</w:t>
            </w:r>
          </w:p>
          <w:p w14:paraId="10CE58ED" w14:textId="4B21A160" w:rsidR="00754C60" w:rsidRPr="00754C60" w:rsidRDefault="00754C60" w:rsidP="00754C60">
            <w:pPr>
              <w:spacing w:line="240" w:lineRule="auto"/>
              <w:jc w:val="both"/>
              <w:rPr>
                <w:bCs/>
              </w:rPr>
            </w:pPr>
          </w:p>
        </w:tc>
      </w:tr>
      <w:tr w:rsidR="00CB71AE" w:rsidRPr="00754C60" w14:paraId="7B7610B9" w14:textId="77777777" w:rsidTr="00E12019">
        <w:trPr>
          <w:trHeight w:val="344"/>
          <w:jc w:val="center"/>
        </w:trPr>
        <w:tc>
          <w:tcPr>
            <w:tcW w:w="1520" w:type="dxa"/>
          </w:tcPr>
          <w:p w14:paraId="29EB6BDE" w14:textId="2B445A71" w:rsidR="00985979" w:rsidRPr="00754C60" w:rsidRDefault="00985979" w:rsidP="00754C60">
            <w:pPr>
              <w:spacing w:line="240" w:lineRule="auto"/>
              <w:jc w:val="both"/>
              <w:rPr>
                <w:bCs/>
              </w:rPr>
            </w:pPr>
            <w:r w:rsidRPr="00754C60">
              <w:rPr>
                <w:bCs/>
              </w:rPr>
              <w:t>Presenters</w:t>
            </w:r>
          </w:p>
        </w:tc>
        <w:tc>
          <w:tcPr>
            <w:tcW w:w="347" w:type="dxa"/>
          </w:tcPr>
          <w:p w14:paraId="4795E955" w14:textId="1CCA1125" w:rsidR="00985979" w:rsidRPr="00754C60" w:rsidRDefault="00985979" w:rsidP="00754C60">
            <w:pPr>
              <w:spacing w:line="240" w:lineRule="auto"/>
              <w:jc w:val="center"/>
              <w:rPr>
                <w:bCs/>
              </w:rPr>
            </w:pPr>
            <w:r w:rsidRPr="00754C60">
              <w:rPr>
                <w:bCs/>
              </w:rPr>
              <w:t>:</w:t>
            </w:r>
          </w:p>
        </w:tc>
        <w:tc>
          <w:tcPr>
            <w:tcW w:w="7484" w:type="dxa"/>
          </w:tcPr>
          <w:p w14:paraId="02C8174B" w14:textId="402A5E73" w:rsidR="00985979" w:rsidRPr="00754C60" w:rsidRDefault="00CB71AE" w:rsidP="00754C60">
            <w:pPr>
              <w:pStyle w:val="ListParagraph"/>
              <w:numPr>
                <w:ilvl w:val="0"/>
                <w:numId w:val="1"/>
              </w:numPr>
              <w:spacing w:line="240" w:lineRule="auto"/>
              <w:ind w:left="288" w:hanging="288"/>
              <w:jc w:val="both"/>
              <w:rPr>
                <w:bCs/>
              </w:rPr>
            </w:pPr>
            <w:r w:rsidRPr="00754C60">
              <w:rPr>
                <w:bCs/>
              </w:rPr>
              <w:t>Adiasri Putri Purbantina, Ph.D. (</w:t>
            </w:r>
            <w:hyperlink r:id="rId7" w:history="1">
              <w:r w:rsidRPr="00754C60">
                <w:rPr>
                  <w:rStyle w:val="Hyperlink"/>
                  <w:bCs/>
                </w:rPr>
                <w:t>adiasri.hi@upnjatim.ac.id</w:t>
              </w:r>
            </w:hyperlink>
            <w:r w:rsidRPr="00754C60">
              <w:rPr>
                <w:bCs/>
              </w:rPr>
              <w:t>)</w:t>
            </w:r>
          </w:p>
          <w:p w14:paraId="42230692" w14:textId="3F4AEF7F" w:rsidR="00CB71AE" w:rsidRPr="00754C60" w:rsidRDefault="00CB71AE" w:rsidP="00754C60">
            <w:pPr>
              <w:pStyle w:val="ListParagraph"/>
              <w:spacing w:line="240" w:lineRule="auto"/>
              <w:ind w:left="288" w:hanging="288"/>
              <w:jc w:val="both"/>
              <w:rPr>
                <w:bCs/>
              </w:rPr>
            </w:pPr>
            <w:r w:rsidRPr="00754C60">
              <w:rPr>
                <w:bCs/>
              </w:rPr>
              <w:t xml:space="preserve">University of Pembangunan Nasional “Veteran” Jawa Timur, </w:t>
            </w:r>
            <w:r w:rsidR="005B61DA" w:rsidRPr="00754C60">
              <w:rPr>
                <w:bCs/>
              </w:rPr>
              <w:t>INDONESIA</w:t>
            </w:r>
          </w:p>
          <w:p w14:paraId="65CAD732" w14:textId="77777777" w:rsidR="005B61DA" w:rsidRPr="00754C60" w:rsidRDefault="005B61DA" w:rsidP="00754C60">
            <w:pPr>
              <w:pStyle w:val="ListParagraph"/>
              <w:numPr>
                <w:ilvl w:val="0"/>
                <w:numId w:val="1"/>
              </w:numPr>
              <w:spacing w:line="240" w:lineRule="auto"/>
              <w:ind w:left="288" w:hanging="288"/>
              <w:jc w:val="both"/>
              <w:rPr>
                <w:bCs/>
              </w:rPr>
            </w:pPr>
            <w:r w:rsidRPr="00754C60">
              <w:rPr>
                <w:bCs/>
              </w:rPr>
              <w:t>Tran Thi Hue, Ph.D. (</w:t>
            </w:r>
            <w:hyperlink r:id="rId8" w:history="1">
              <w:r w:rsidRPr="00754C60">
                <w:rPr>
                  <w:rStyle w:val="Hyperlink"/>
                  <w:bCs/>
                </w:rPr>
                <w:t>t-tran@suma.kobe-wu.ac.jp</w:t>
              </w:r>
            </w:hyperlink>
            <w:r w:rsidRPr="00754C60">
              <w:rPr>
                <w:bCs/>
              </w:rPr>
              <w:t>)</w:t>
            </w:r>
          </w:p>
          <w:p w14:paraId="1138E898" w14:textId="7C3E1E28" w:rsidR="005B61DA" w:rsidRPr="00754C60" w:rsidRDefault="005B61DA" w:rsidP="00754C60">
            <w:pPr>
              <w:pStyle w:val="ListParagraph"/>
              <w:spacing w:line="240" w:lineRule="auto"/>
              <w:ind w:left="288" w:hanging="288"/>
              <w:jc w:val="both"/>
              <w:rPr>
                <w:bCs/>
              </w:rPr>
            </w:pPr>
            <w:r w:rsidRPr="00754C60">
              <w:rPr>
                <w:bCs/>
              </w:rPr>
              <w:t>Kobe Women’s University, JAPAN</w:t>
            </w:r>
          </w:p>
          <w:p w14:paraId="7F262011" w14:textId="744031D2" w:rsidR="00CB71AE" w:rsidRPr="00754C60" w:rsidRDefault="005B61DA" w:rsidP="00754C60">
            <w:pPr>
              <w:pStyle w:val="ListParagraph"/>
              <w:numPr>
                <w:ilvl w:val="0"/>
                <w:numId w:val="1"/>
              </w:numPr>
              <w:spacing w:line="240" w:lineRule="auto"/>
              <w:ind w:left="288" w:hanging="288"/>
              <w:jc w:val="both"/>
              <w:rPr>
                <w:bCs/>
              </w:rPr>
            </w:pPr>
            <w:proofErr w:type="spellStart"/>
            <w:r w:rsidRPr="00754C60">
              <w:rPr>
                <w:bCs/>
              </w:rPr>
              <w:t>Numtip</w:t>
            </w:r>
            <w:proofErr w:type="spellEnd"/>
            <w:r w:rsidRPr="00754C60">
              <w:rPr>
                <w:bCs/>
              </w:rPr>
              <w:t xml:space="preserve"> </w:t>
            </w:r>
            <w:proofErr w:type="spellStart"/>
            <w:r w:rsidRPr="00754C60">
              <w:rPr>
                <w:bCs/>
              </w:rPr>
              <w:t>Smerchuar</w:t>
            </w:r>
            <w:proofErr w:type="spellEnd"/>
            <w:r w:rsidRPr="00754C60">
              <w:rPr>
                <w:bCs/>
              </w:rPr>
              <w:t>, Ph.D. (</w:t>
            </w:r>
            <w:hyperlink r:id="rId9" w:history="1">
              <w:r w:rsidR="00F10D5F" w:rsidRPr="00754C60">
                <w:rPr>
                  <w:rStyle w:val="Hyperlink"/>
                </w:rPr>
                <w:t>numtip.sm@up.ac.th</w:t>
              </w:r>
            </w:hyperlink>
            <w:r w:rsidR="00F10D5F" w:rsidRPr="00754C60">
              <w:t xml:space="preserve">) </w:t>
            </w:r>
          </w:p>
          <w:p w14:paraId="15E7FBB7" w14:textId="1941A8B9" w:rsidR="005B61DA" w:rsidRPr="00754C60" w:rsidRDefault="00F10D5F" w:rsidP="00754C60">
            <w:pPr>
              <w:pStyle w:val="ListParagraph"/>
              <w:spacing w:line="240" w:lineRule="auto"/>
              <w:ind w:left="288" w:hanging="288"/>
              <w:jc w:val="both"/>
              <w:rPr>
                <w:bCs/>
              </w:rPr>
            </w:pPr>
            <w:r w:rsidRPr="00754C60">
              <w:rPr>
                <w:bCs/>
              </w:rPr>
              <w:t>University of Phayao, THAILAND</w:t>
            </w:r>
          </w:p>
          <w:p w14:paraId="5B2C7FEB" w14:textId="22165779" w:rsidR="005B61DA" w:rsidRPr="00754C60" w:rsidRDefault="00F10D5F" w:rsidP="00754C60">
            <w:pPr>
              <w:pStyle w:val="ListParagraph"/>
              <w:numPr>
                <w:ilvl w:val="0"/>
                <w:numId w:val="1"/>
              </w:numPr>
              <w:spacing w:line="240" w:lineRule="auto"/>
              <w:ind w:left="288" w:hanging="288"/>
              <w:jc w:val="both"/>
              <w:rPr>
                <w:bCs/>
              </w:rPr>
            </w:pPr>
            <w:r w:rsidRPr="00754C60">
              <w:rPr>
                <w:bCs/>
              </w:rPr>
              <w:t xml:space="preserve">Deborrah </w:t>
            </w:r>
            <w:proofErr w:type="spellStart"/>
            <w:r w:rsidRPr="00754C60">
              <w:rPr>
                <w:bCs/>
              </w:rPr>
              <w:t>Sadile</w:t>
            </w:r>
            <w:proofErr w:type="spellEnd"/>
            <w:r w:rsidRPr="00754C60">
              <w:rPr>
                <w:bCs/>
              </w:rPr>
              <w:t xml:space="preserve"> Anastacio, Ph.D. (</w:t>
            </w:r>
            <w:hyperlink r:id="rId10" w:history="1">
              <w:r w:rsidR="00EA3713" w:rsidRPr="00754C60">
                <w:rPr>
                  <w:rStyle w:val="Hyperlink"/>
                </w:rPr>
                <w:t>deborrah.anastacio@dlsu.edu.ph</w:t>
              </w:r>
            </w:hyperlink>
            <w:r w:rsidR="00EA3713" w:rsidRPr="00754C60">
              <w:t xml:space="preserve">) </w:t>
            </w:r>
          </w:p>
          <w:p w14:paraId="36BB8661" w14:textId="5E038286" w:rsidR="00F10D5F" w:rsidRPr="00754C60" w:rsidRDefault="00F10D5F" w:rsidP="00754C60">
            <w:pPr>
              <w:pStyle w:val="ListParagraph"/>
              <w:spacing w:line="240" w:lineRule="auto"/>
              <w:ind w:left="288" w:hanging="288"/>
              <w:jc w:val="both"/>
              <w:rPr>
                <w:bCs/>
              </w:rPr>
            </w:pPr>
            <w:r w:rsidRPr="00754C60">
              <w:t>De La Salle University Manila, PHILIPPINES</w:t>
            </w:r>
          </w:p>
          <w:p w14:paraId="4EF4D067" w14:textId="4144F601" w:rsidR="00F10D5F" w:rsidRPr="00754C60" w:rsidRDefault="00252BFC" w:rsidP="00754C60">
            <w:pPr>
              <w:pStyle w:val="ListParagraph"/>
              <w:numPr>
                <w:ilvl w:val="0"/>
                <w:numId w:val="1"/>
              </w:numPr>
              <w:spacing w:line="240" w:lineRule="auto"/>
              <w:ind w:left="288" w:hanging="288"/>
              <w:jc w:val="both"/>
              <w:rPr>
                <w:bCs/>
              </w:rPr>
            </w:pPr>
            <w:r w:rsidRPr="00754C60">
              <w:rPr>
                <w:bCs/>
              </w:rPr>
              <w:t>Leslie Anne L. Liwanag, PhD</w:t>
            </w:r>
            <w:r w:rsidR="00D97436" w:rsidRPr="00754C60">
              <w:rPr>
                <w:bCs/>
              </w:rPr>
              <w:t xml:space="preserve"> (</w:t>
            </w:r>
            <w:hyperlink r:id="rId11" w:tgtFrame="_blank" w:history="1">
              <w:r w:rsidRPr="00754C60">
                <w:rPr>
                  <w:rStyle w:val="Hyperlink"/>
                </w:rPr>
                <w:t>leslie.liwanag@dlsu.edu.ph</w:t>
              </w:r>
            </w:hyperlink>
            <w:r w:rsidR="00D97436" w:rsidRPr="00754C60">
              <w:rPr>
                <w:bCs/>
              </w:rPr>
              <w:t xml:space="preserve">) </w:t>
            </w:r>
          </w:p>
          <w:p w14:paraId="5D254FDF" w14:textId="29146B1B" w:rsidR="00D97436" w:rsidRPr="00754C60" w:rsidRDefault="00252BFC" w:rsidP="00754C60">
            <w:pPr>
              <w:pStyle w:val="ListParagraph"/>
              <w:spacing w:line="240" w:lineRule="auto"/>
              <w:ind w:left="288" w:hanging="288"/>
              <w:jc w:val="both"/>
              <w:rPr>
                <w:bCs/>
              </w:rPr>
            </w:pPr>
            <w:r w:rsidRPr="00754C60">
              <w:rPr>
                <w:bCs/>
              </w:rPr>
              <w:t>De La Salle University - School of Innovation and Sustainability</w:t>
            </w:r>
            <w:r w:rsidR="00D97436" w:rsidRPr="00754C60">
              <w:rPr>
                <w:bCs/>
              </w:rPr>
              <w:t xml:space="preserve">, </w:t>
            </w:r>
            <w:r w:rsidR="00D97436" w:rsidRPr="00754C60">
              <w:t>PHILIPPINES</w:t>
            </w:r>
          </w:p>
        </w:tc>
      </w:tr>
    </w:tbl>
    <w:p w14:paraId="1BB842B3" w14:textId="77777777" w:rsidR="004B1874" w:rsidRDefault="004B1874" w:rsidP="00E12019">
      <w:pPr>
        <w:rPr>
          <w:b/>
        </w:rPr>
      </w:pPr>
    </w:p>
    <w:p w14:paraId="4A2B64AA" w14:textId="5843CBC0" w:rsidR="004B1874" w:rsidRDefault="00000000" w:rsidP="004B1874">
      <w:pPr>
        <w:jc w:val="center"/>
        <w:rPr>
          <w:b/>
        </w:rPr>
      </w:pPr>
      <w:r>
        <w:rPr>
          <w:noProof/>
        </w:rPr>
        <w:pict w14:anchorId="3BEC5A65">
          <v:rect id="_x0000_i1026" alt="" style="width:468pt;height:.05pt;mso-width-percent:0;mso-height-percent:0;mso-width-percent:0;mso-height-percent:0" o:hralign="center" o:hrstd="t" o:hr="t" fillcolor="#a0a0a0" stroked="f"/>
        </w:pict>
      </w:r>
    </w:p>
    <w:p w14:paraId="095B895A" w14:textId="77777777" w:rsidR="004B1874" w:rsidRDefault="004B1874" w:rsidP="004B1874">
      <w:pPr>
        <w:jc w:val="both"/>
        <w:rPr>
          <w:bCs/>
        </w:rPr>
      </w:pPr>
    </w:p>
    <w:p w14:paraId="76D25012" w14:textId="77777777" w:rsidR="004D0B17" w:rsidRDefault="004D0B17">
      <w:pPr>
        <w:spacing w:line="240" w:lineRule="auto"/>
        <w:rPr>
          <w:b/>
        </w:rPr>
      </w:pPr>
      <w:r>
        <w:rPr>
          <w:b/>
        </w:rPr>
        <w:br w:type="page"/>
      </w:r>
    </w:p>
    <w:p w14:paraId="37028554" w14:textId="607C46A5" w:rsidR="004D0B17" w:rsidRPr="006F1674" w:rsidRDefault="004D0B17" w:rsidP="006F1674">
      <w:pPr>
        <w:pStyle w:val="Heading1"/>
        <w:rPr>
          <w:b w:val="0"/>
          <w:bCs/>
          <w:szCs w:val="24"/>
        </w:rPr>
      </w:pPr>
      <w:r w:rsidRPr="004D0B17">
        <w:rPr>
          <w:szCs w:val="24"/>
        </w:rPr>
        <w:lastRenderedPageBreak/>
        <w:t>A. Format Description</w:t>
      </w:r>
      <w:r w:rsidR="00FB4289">
        <w:rPr>
          <w:szCs w:val="24"/>
        </w:rPr>
        <w:t xml:space="preserve"> </w:t>
      </w:r>
      <w:r w:rsidR="00FB4289" w:rsidRPr="00FB4289">
        <w:rPr>
          <w:rFonts w:ascii="Arial" w:hAnsi="Arial" w:cs="Arial"/>
          <w:b w:val="0"/>
          <w:bCs/>
        </w:rPr>
        <w:t>(</w:t>
      </w:r>
      <w:r w:rsidR="00FB4289" w:rsidRPr="00FB4289">
        <w:rPr>
          <w:rFonts w:ascii="Arial" w:hAnsi="Arial" w:cs="Arial"/>
          <w:b w:val="0"/>
          <w:bCs/>
          <w:color w:val="000000"/>
          <w:shd w:val="clear" w:color="auto" w:fill="FFFFFF"/>
        </w:rPr>
        <w:t>½ page)</w:t>
      </w:r>
    </w:p>
    <w:p w14:paraId="019A3C30" w14:textId="2FE36BBC" w:rsidR="008E455D" w:rsidRDefault="006F1674" w:rsidP="006F1674">
      <w:pPr>
        <w:jc w:val="both"/>
      </w:pPr>
      <w:r w:rsidRPr="00E807F0">
        <w:rPr>
          <w:bCs/>
        </w:rPr>
        <w:t>This panel tackles the topic of "Globalization &amp; Knowledge Economy: Assessing Issues on Learning &amp; Education in Post-Pandemic South(East) Asia." Scholars from four Southeast Asian countries are discussing the empirical problems that exist in learning &amp; education in the global south, which are tightly connected to the present Western-centric knowledge economy paradigm.</w:t>
      </w:r>
      <w:r>
        <w:rPr>
          <w:bCs/>
        </w:rPr>
        <w:t xml:space="preserve"> </w:t>
      </w:r>
      <w:r w:rsidR="00CF6AFD">
        <w:t xml:space="preserve">We are proposing an alternative panel format, </w:t>
      </w:r>
      <w:r w:rsidR="00CF6AFD" w:rsidRPr="006C3FFD">
        <w:rPr>
          <w:highlight w:val="yellow"/>
        </w:rPr>
        <w:t xml:space="preserve">which is a mix between </w:t>
      </w:r>
      <w:r w:rsidR="006C3FFD" w:rsidRPr="006C3FFD">
        <w:rPr>
          <w:highlight w:val="yellow"/>
        </w:rPr>
        <w:t>panels and roundtables</w:t>
      </w:r>
      <w:r w:rsidR="00E77473">
        <w:t xml:space="preserve">. The panel will consist of three small sessions. </w:t>
      </w:r>
      <w:r w:rsidR="00E77473" w:rsidRPr="008934D1">
        <w:rPr>
          <w:highlight w:val="yellow"/>
        </w:rPr>
        <w:t xml:space="preserve">The first session will take up 35 minutes, in which each </w:t>
      </w:r>
      <w:r w:rsidR="00A07B00" w:rsidRPr="008934D1">
        <w:rPr>
          <w:highlight w:val="yellow"/>
        </w:rPr>
        <w:t>presenter</w:t>
      </w:r>
      <w:r w:rsidR="00E77473" w:rsidRPr="008934D1">
        <w:rPr>
          <w:highlight w:val="yellow"/>
        </w:rPr>
        <w:t xml:space="preserve"> will deliver their key discussion point for </w:t>
      </w:r>
      <w:r w:rsidR="008934D1" w:rsidRPr="008934D1">
        <w:rPr>
          <w:highlight w:val="yellow"/>
        </w:rPr>
        <w:t>5</w:t>
      </w:r>
      <w:r w:rsidR="00E77473" w:rsidRPr="008934D1">
        <w:rPr>
          <w:highlight w:val="yellow"/>
        </w:rPr>
        <w:t xml:space="preserve"> minu</w:t>
      </w:r>
      <w:r w:rsidR="008934D1" w:rsidRPr="008934D1">
        <w:rPr>
          <w:highlight w:val="yellow"/>
        </w:rPr>
        <w:t>tes</w:t>
      </w:r>
      <w:r w:rsidR="00E77473" w:rsidRPr="008934D1">
        <w:rPr>
          <w:highlight w:val="yellow"/>
        </w:rPr>
        <w:t xml:space="preserve"> related to their key discussion point.</w:t>
      </w:r>
      <w:r w:rsidR="008934D1" w:rsidRPr="008934D1">
        <w:rPr>
          <w:highlight w:val="yellow"/>
        </w:rPr>
        <w:t xml:space="preserve"> The presenters will use </w:t>
      </w:r>
      <w:r w:rsidR="008934D1">
        <w:rPr>
          <w:highlight w:val="yellow"/>
        </w:rPr>
        <w:t>a visual presentation</w:t>
      </w:r>
      <w:r w:rsidR="006C3FFD">
        <w:rPr>
          <w:highlight w:val="yellow"/>
        </w:rPr>
        <w:t xml:space="preserve"> to provide a case</w:t>
      </w:r>
      <w:r w:rsidR="008934D1" w:rsidRPr="008934D1">
        <w:rPr>
          <w:highlight w:val="yellow"/>
        </w:rPr>
        <w:t>.</w:t>
      </w:r>
      <w:r w:rsidR="00E77473">
        <w:t xml:space="preserve"> The second session will be a semi-structured roundtable discussion for 50-55 minutes</w:t>
      </w:r>
      <w:r w:rsidR="006C3FFD">
        <w:t>,</w:t>
      </w:r>
      <w:r w:rsidR="00E77473">
        <w:t xml:space="preserve"> based on the key discussions mentioned in the first session. The remaining 5</w:t>
      </w:r>
      <w:r w:rsidR="00D3506F">
        <w:t>-10</w:t>
      </w:r>
      <w:r w:rsidR="00E77473">
        <w:t xml:space="preserve"> minutes will be for the moderator to draw the conclusion of the panel discussion.</w:t>
      </w:r>
    </w:p>
    <w:p w14:paraId="24AC3AA2" w14:textId="77777777" w:rsidR="008934D1" w:rsidRDefault="008934D1" w:rsidP="006F1674">
      <w:pPr>
        <w:jc w:val="both"/>
      </w:pPr>
    </w:p>
    <w:p w14:paraId="7D85CE05" w14:textId="77777777" w:rsidR="008E455D" w:rsidRDefault="008E455D" w:rsidP="008E455D">
      <w:pPr>
        <w:jc w:val="both"/>
        <w:rPr>
          <w:bCs/>
        </w:rPr>
      </w:pPr>
      <w:r>
        <w:t>This panel will bring together five scholars, who are also a member of Higher Education Institutions to discuss the key issues and challenges facing learning and education in post-pandemic South(East) Asia. The panel will use cases from Indonesia, Thailand, the Philippines, Vietnam, and Japan to illustrate these issues and challenges. The panel will be formatted as a roundtable discussion, with one of the presenters acting as moderator. Each presenter will deliver a key discussion point using one of the country cases.</w:t>
      </w:r>
      <w:r>
        <w:rPr>
          <w:bCs/>
        </w:rPr>
        <w:t xml:space="preserve"> </w:t>
      </w:r>
    </w:p>
    <w:p w14:paraId="4F686187" w14:textId="77777777" w:rsidR="00E77473" w:rsidRDefault="00E77473" w:rsidP="00E77473">
      <w:pPr>
        <w:spacing w:line="240" w:lineRule="auto"/>
      </w:pPr>
    </w:p>
    <w:p w14:paraId="2CE90888" w14:textId="6EEFEBAB" w:rsidR="006F1674" w:rsidRPr="00C701B9" w:rsidRDefault="004D0B17" w:rsidP="00C701B9">
      <w:pPr>
        <w:pStyle w:val="Heading1"/>
        <w:rPr>
          <w:b w:val="0"/>
          <w:bCs/>
        </w:rPr>
      </w:pPr>
      <w:r w:rsidRPr="004D0B17">
        <w:t>B.</w:t>
      </w:r>
      <w:r w:rsidR="00FB4289">
        <w:t xml:space="preserve"> Panel </w:t>
      </w:r>
      <w:r w:rsidRPr="004D0B17">
        <w:t>Description</w:t>
      </w:r>
      <w:r w:rsidR="00FB4289">
        <w:t xml:space="preserve"> / Urgency of Topic </w:t>
      </w:r>
      <w:r w:rsidR="00FB4289" w:rsidRPr="00FB4289">
        <w:rPr>
          <w:rFonts w:ascii="Arial" w:hAnsi="Arial" w:cs="Arial"/>
          <w:b w:val="0"/>
          <w:bCs/>
        </w:rPr>
        <w:t>(</w:t>
      </w:r>
      <w:r w:rsidR="00FB4289" w:rsidRPr="00FB4289">
        <w:rPr>
          <w:rFonts w:ascii="Arial" w:hAnsi="Arial" w:cs="Arial"/>
          <w:b w:val="0"/>
          <w:bCs/>
          <w:color w:val="000000"/>
          <w:shd w:val="clear" w:color="auto" w:fill="FFFFFF"/>
        </w:rPr>
        <w:t>½ page)</w:t>
      </w:r>
    </w:p>
    <w:p w14:paraId="3F629719" w14:textId="61006B8D" w:rsidR="00392CED" w:rsidRPr="00E807F0" w:rsidRDefault="006F1674" w:rsidP="00DA0B62">
      <w:pPr>
        <w:jc w:val="both"/>
        <w:rPr>
          <w:bCs/>
        </w:rPr>
      </w:pPr>
      <w:r w:rsidRPr="007E2C1B">
        <w:rPr>
          <w:bCs/>
        </w:rPr>
        <w:t xml:space="preserve">Globalization, driven by economic and technological advancements, has fostered worldwide interconnectedness and the "knowledge economy" </w:t>
      </w:r>
      <w:sdt>
        <w:sdtPr>
          <w:rPr>
            <w:bCs/>
          </w:rPr>
          <w:id w:val="-216358707"/>
          <w:citation/>
        </w:sdtPr>
        <w:sdtContent>
          <w:r w:rsidRPr="007E2C1B">
            <w:rPr>
              <w:bCs/>
            </w:rPr>
            <w:fldChar w:fldCharType="begin"/>
          </w:r>
          <w:r w:rsidRPr="007E2C1B">
            <w:rPr>
              <w:bCs/>
              <w:lang w:val="en-US"/>
            </w:rPr>
            <w:instrText xml:space="preserve"> CITATION Moa07 \l 1033 </w:instrText>
          </w:r>
          <w:r w:rsidRPr="007E2C1B">
            <w:rPr>
              <w:bCs/>
            </w:rPr>
            <w:fldChar w:fldCharType="separate"/>
          </w:r>
          <w:r w:rsidRPr="007E2C1B">
            <w:rPr>
              <w:noProof/>
              <w:lang w:val="en-US"/>
            </w:rPr>
            <w:t>(Moahi, 2007)</w:t>
          </w:r>
          <w:r w:rsidRPr="007E2C1B">
            <w:rPr>
              <w:bCs/>
            </w:rPr>
            <w:fldChar w:fldCharType="end"/>
          </w:r>
        </w:sdtContent>
      </w:sdt>
      <w:r w:rsidRPr="007E2C1B">
        <w:rPr>
          <w:bCs/>
        </w:rPr>
        <w:t xml:space="preserve">, leading to the transition from Fordism to new accumulation regimes </w:t>
      </w:r>
      <w:sdt>
        <w:sdtPr>
          <w:rPr>
            <w:bCs/>
          </w:rPr>
          <w:id w:val="-217672101"/>
          <w:citation/>
        </w:sdtPr>
        <w:sdtContent>
          <w:r w:rsidRPr="007E2C1B">
            <w:rPr>
              <w:bCs/>
            </w:rPr>
            <w:fldChar w:fldCharType="begin"/>
          </w:r>
          <w:r w:rsidRPr="007E2C1B">
            <w:rPr>
              <w:bCs/>
              <w:lang w:val="en-US"/>
            </w:rPr>
            <w:instrText xml:space="preserve"> CITATION Jes18 \l 1033 </w:instrText>
          </w:r>
          <w:r w:rsidRPr="007E2C1B">
            <w:rPr>
              <w:bCs/>
            </w:rPr>
            <w:fldChar w:fldCharType="separate"/>
          </w:r>
          <w:r w:rsidRPr="007E2C1B">
            <w:rPr>
              <w:noProof/>
              <w:lang w:val="en-US"/>
            </w:rPr>
            <w:t>(Jessop, 2018)</w:t>
          </w:r>
          <w:r w:rsidRPr="007E2C1B">
            <w:rPr>
              <w:bCs/>
            </w:rPr>
            <w:fldChar w:fldCharType="end"/>
          </w:r>
        </w:sdtContent>
      </w:sdt>
      <w:r w:rsidRPr="007E2C1B">
        <w:rPr>
          <w:bCs/>
        </w:rPr>
        <w:t xml:space="preserve">. This has transformed universities into academic capitalist enterprises, integrating a transnational dimension into teaching, research, and services </w:t>
      </w:r>
      <w:sdt>
        <w:sdtPr>
          <w:rPr>
            <w:bCs/>
          </w:rPr>
          <w:id w:val="938403668"/>
          <w:citation/>
        </w:sdtPr>
        <w:sdtContent>
          <w:r w:rsidRPr="007E2C1B">
            <w:rPr>
              <w:bCs/>
            </w:rPr>
            <w:fldChar w:fldCharType="begin"/>
          </w:r>
          <w:r w:rsidRPr="007E2C1B">
            <w:rPr>
              <w:bCs/>
              <w:lang w:val="en-US"/>
            </w:rPr>
            <w:instrText xml:space="preserve"> CITATION Kau12 \l 1033 </w:instrText>
          </w:r>
          <w:r w:rsidRPr="007E2C1B">
            <w:rPr>
              <w:bCs/>
            </w:rPr>
            <w:fldChar w:fldCharType="separate"/>
          </w:r>
          <w:r w:rsidRPr="007E2C1B">
            <w:rPr>
              <w:noProof/>
              <w:lang w:val="en-US"/>
            </w:rPr>
            <w:t>(Kauppinen, 2012)</w:t>
          </w:r>
          <w:r w:rsidRPr="007E2C1B">
            <w:rPr>
              <w:bCs/>
            </w:rPr>
            <w:fldChar w:fldCharType="end"/>
          </w:r>
        </w:sdtContent>
      </w:sdt>
      <w:r w:rsidRPr="007E2C1B">
        <w:rPr>
          <w:bCs/>
        </w:rPr>
        <w:t>.</w:t>
      </w:r>
      <w:r w:rsidR="00C701B9" w:rsidRPr="007E2C1B">
        <w:rPr>
          <w:bCs/>
        </w:rPr>
        <w:t xml:space="preserve"> The case of “Life-long Learning Policy in Higher Education: the Next Step of Education Reform?” discusses the case of Thailand’s higher education.</w:t>
      </w:r>
      <w:r w:rsidRPr="007E2C1B">
        <w:rPr>
          <w:bCs/>
        </w:rPr>
        <w:t xml:space="preserve"> The resulting competition among institutions has led to a focus on maximizing revenue and promoting economic competitiveness, rather than solely on education and research (Jessop, 2018).</w:t>
      </w:r>
      <w:r w:rsidR="00C701B9" w:rsidRPr="007E2C1B">
        <w:rPr>
          <w:bCs/>
        </w:rPr>
        <w:t xml:space="preserve"> The case of “International Accreditation in Higher Education Institutions in Indonesia: Challenges in Ensuring Inclusive Education” explores on how universities in Indonesia are competing to meet the global standards through the current “performance-based funding” mechanism promoted by the Ministry of Education.</w:t>
      </w:r>
      <w:r w:rsidRPr="007E2C1B">
        <w:rPr>
          <w:bCs/>
        </w:rPr>
        <w:t xml:space="preserve"> Cross-border education has also become a tradable commodity in trade negotiations </w:t>
      </w:r>
      <w:sdt>
        <w:sdtPr>
          <w:rPr>
            <w:bCs/>
          </w:rPr>
          <w:id w:val="-1242794638"/>
          <w:citation/>
        </w:sdtPr>
        <w:sdtContent>
          <w:r w:rsidRPr="007E2C1B">
            <w:rPr>
              <w:bCs/>
            </w:rPr>
            <w:fldChar w:fldCharType="begin"/>
          </w:r>
          <w:r w:rsidRPr="007E2C1B">
            <w:rPr>
              <w:bCs/>
              <w:lang w:val="en-US"/>
            </w:rPr>
            <w:instrText xml:space="preserve"> CITATION Var08 \l 1033 </w:instrText>
          </w:r>
          <w:r w:rsidRPr="007E2C1B">
            <w:rPr>
              <w:bCs/>
            </w:rPr>
            <w:fldChar w:fldCharType="separate"/>
          </w:r>
          <w:r w:rsidRPr="007E2C1B">
            <w:rPr>
              <w:noProof/>
              <w:lang w:val="en-US"/>
            </w:rPr>
            <w:t>(Varghese, 2008)</w:t>
          </w:r>
          <w:r w:rsidRPr="007E2C1B">
            <w:rPr>
              <w:bCs/>
            </w:rPr>
            <w:fldChar w:fldCharType="end"/>
          </w:r>
        </w:sdtContent>
      </w:sdt>
      <w:r w:rsidRPr="007E2C1B">
        <w:rPr>
          <w:bCs/>
        </w:rPr>
        <w:t>, leaving international students vulnerable to disruptions (e.g., COVID-19 pandemic)</w:t>
      </w:r>
      <w:r w:rsidR="00C701B9" w:rsidRPr="007E2C1B">
        <w:rPr>
          <w:bCs/>
        </w:rPr>
        <w:t>, which is explored by the case of “Prevalence and Risk Factors Associated with Mental Health of Vietnamese Students in Japan During The COVID-19 Pandemic”</w:t>
      </w:r>
      <w:r w:rsidRPr="007E2C1B">
        <w:rPr>
          <w:bCs/>
        </w:rPr>
        <w:t xml:space="preserve">. Despite its importance, indigenous knowledge is often undervalued and commoditized in global education, benefiting individuals and corporations while disempowering communities </w:t>
      </w:r>
      <w:sdt>
        <w:sdtPr>
          <w:rPr>
            <w:bCs/>
          </w:rPr>
          <w:id w:val="1898319652"/>
          <w:citation/>
        </w:sdtPr>
        <w:sdtContent>
          <w:r w:rsidRPr="007E2C1B">
            <w:rPr>
              <w:bCs/>
            </w:rPr>
            <w:fldChar w:fldCharType="begin"/>
          </w:r>
          <w:r w:rsidRPr="007E2C1B">
            <w:rPr>
              <w:bCs/>
              <w:lang w:val="en-US"/>
            </w:rPr>
            <w:instrText xml:space="preserve"> CITATION Moa07 \l 1033 </w:instrText>
          </w:r>
          <w:r w:rsidRPr="007E2C1B">
            <w:rPr>
              <w:bCs/>
            </w:rPr>
            <w:fldChar w:fldCharType="separate"/>
          </w:r>
          <w:r w:rsidRPr="007E2C1B">
            <w:rPr>
              <w:noProof/>
              <w:lang w:val="en-US"/>
            </w:rPr>
            <w:t>(Moahi, 2007)</w:t>
          </w:r>
          <w:r w:rsidRPr="007E2C1B">
            <w:rPr>
              <w:bCs/>
            </w:rPr>
            <w:fldChar w:fldCharType="end"/>
          </w:r>
        </w:sdtContent>
      </w:sdt>
      <w:r w:rsidRPr="007E2C1B">
        <w:rPr>
          <w:bCs/>
        </w:rPr>
        <w:t>.</w:t>
      </w:r>
      <w:r w:rsidR="00C701B9" w:rsidRPr="007E2C1B">
        <w:rPr>
          <w:bCs/>
        </w:rPr>
        <w:t xml:space="preserve"> The two cases of “The Direction of the Indigenization of Filipino Psychology in DLSU-CLA” and “A Comparative Analysis of the English and Filipino ChatGPT Translations from the Existing Translations of the Philippine National Anthem” addresses the issue indigenous knowledge, which are promoted by the local indigenous actors (i.e., academicians and practitioners).</w:t>
      </w:r>
    </w:p>
    <w:p w14:paraId="2B7C6A32" w14:textId="1BF8421D" w:rsidR="004B1874" w:rsidRPr="0066666C" w:rsidRDefault="0066666C" w:rsidP="0066666C">
      <w:pPr>
        <w:pStyle w:val="Heading1"/>
      </w:pPr>
      <w:r>
        <w:lastRenderedPageBreak/>
        <w:t xml:space="preserve">C. </w:t>
      </w:r>
      <w:r w:rsidRPr="0066666C">
        <w:t>Additional Information</w:t>
      </w:r>
      <w:r w:rsidR="001D7E6F">
        <w:t xml:space="preserve"> (</w:t>
      </w:r>
      <w:r w:rsidR="0027407D">
        <w:t xml:space="preserve">Individual </w:t>
      </w:r>
      <w:r w:rsidR="001D7E6F">
        <w:t>Research Works)</w:t>
      </w:r>
    </w:p>
    <w:tbl>
      <w:tblPr>
        <w:tblStyle w:val="TableGrid"/>
        <w:tblW w:w="0" w:type="auto"/>
        <w:tblLayout w:type="fixed"/>
        <w:tblLook w:val="04A0" w:firstRow="1" w:lastRow="0" w:firstColumn="1" w:lastColumn="0" w:noHBand="0" w:noVBand="1"/>
      </w:tblPr>
      <w:tblGrid>
        <w:gridCol w:w="328"/>
        <w:gridCol w:w="9022"/>
      </w:tblGrid>
      <w:tr w:rsidR="001D7E6F" w:rsidRPr="0066666C" w14:paraId="5D2BC9B7" w14:textId="77777777" w:rsidTr="007E2C1B">
        <w:tc>
          <w:tcPr>
            <w:tcW w:w="328" w:type="dxa"/>
            <w:shd w:val="clear" w:color="auto" w:fill="D0CECE" w:themeFill="background2" w:themeFillShade="E6"/>
          </w:tcPr>
          <w:p w14:paraId="286C5408" w14:textId="66295EA3" w:rsidR="001D7E6F" w:rsidRPr="000C28D1" w:rsidRDefault="001D7E6F" w:rsidP="000C28D1">
            <w:pPr>
              <w:spacing w:line="240" w:lineRule="auto"/>
              <w:rPr>
                <w:b/>
                <w:sz w:val="20"/>
                <w:szCs w:val="20"/>
              </w:rPr>
            </w:pPr>
            <w:r w:rsidRPr="000C28D1">
              <w:rPr>
                <w:b/>
                <w:sz w:val="20"/>
                <w:szCs w:val="20"/>
              </w:rPr>
              <w:t>1</w:t>
            </w:r>
          </w:p>
        </w:tc>
        <w:tc>
          <w:tcPr>
            <w:tcW w:w="9022" w:type="dxa"/>
          </w:tcPr>
          <w:p w14:paraId="39DDC6EB" w14:textId="77777777" w:rsidR="000C28D1" w:rsidRPr="000C28D1" w:rsidRDefault="001D7E6F" w:rsidP="000C28D1">
            <w:pPr>
              <w:spacing w:line="240" w:lineRule="auto"/>
              <w:jc w:val="both"/>
              <w:rPr>
                <w:b/>
                <w:sz w:val="20"/>
                <w:szCs w:val="20"/>
              </w:rPr>
            </w:pPr>
            <w:r w:rsidRPr="000C28D1">
              <w:rPr>
                <w:b/>
                <w:sz w:val="20"/>
                <w:szCs w:val="20"/>
              </w:rPr>
              <w:t xml:space="preserve">Adiasri Putri Purbantina, Ph.D. </w:t>
            </w:r>
          </w:p>
          <w:p w14:paraId="63D0D297" w14:textId="24786595" w:rsidR="001D7E6F" w:rsidRPr="000C28D1" w:rsidRDefault="001D7E6F" w:rsidP="000C28D1">
            <w:pPr>
              <w:spacing w:line="240" w:lineRule="auto"/>
              <w:jc w:val="both"/>
              <w:rPr>
                <w:b/>
                <w:sz w:val="20"/>
                <w:szCs w:val="20"/>
              </w:rPr>
            </w:pPr>
            <w:r w:rsidRPr="000C28D1">
              <w:rPr>
                <w:bCs/>
                <w:sz w:val="20"/>
                <w:szCs w:val="20"/>
              </w:rPr>
              <w:t>(University of Pembangunan Nasional “Veteran” Jawa Timur, INDONESIA)</w:t>
            </w:r>
          </w:p>
        </w:tc>
      </w:tr>
      <w:tr w:rsidR="007E2C1B" w:rsidRPr="0066666C" w14:paraId="61A88645" w14:textId="77777777" w:rsidTr="00404E45">
        <w:tc>
          <w:tcPr>
            <w:tcW w:w="9350" w:type="dxa"/>
            <w:gridSpan w:val="2"/>
          </w:tcPr>
          <w:p w14:paraId="2BC46CF3" w14:textId="4694C5D5" w:rsidR="007E2C1B" w:rsidRPr="001D7E6F" w:rsidRDefault="007E2C1B" w:rsidP="000C28D1">
            <w:pPr>
              <w:widowControl w:val="0"/>
              <w:pBdr>
                <w:top w:val="nil"/>
                <w:left w:val="nil"/>
                <w:bottom w:val="nil"/>
                <w:right w:val="nil"/>
                <w:between w:val="nil"/>
              </w:pBdr>
              <w:spacing w:line="240" w:lineRule="auto"/>
              <w:jc w:val="both"/>
              <w:rPr>
                <w:b/>
                <w:bCs/>
                <w:sz w:val="20"/>
                <w:szCs w:val="20"/>
              </w:rPr>
            </w:pPr>
            <w:r w:rsidRPr="00E55CB2">
              <w:rPr>
                <w:b/>
                <w:bCs/>
                <w:sz w:val="20"/>
                <w:szCs w:val="20"/>
              </w:rPr>
              <w:t>“(Internationalization) International Accreditation in Higher Education Institutions in Indonesia: Challenges in Ensuring Inclusive Education”</w:t>
            </w:r>
          </w:p>
          <w:p w14:paraId="344BF952" w14:textId="0465292E" w:rsidR="007E2C1B" w:rsidRPr="00E55CB2" w:rsidRDefault="007E2C1B" w:rsidP="000C28D1">
            <w:pPr>
              <w:widowControl w:val="0"/>
              <w:pBdr>
                <w:top w:val="nil"/>
                <w:left w:val="nil"/>
                <w:bottom w:val="nil"/>
                <w:right w:val="nil"/>
                <w:between w:val="nil"/>
              </w:pBdr>
              <w:spacing w:line="240" w:lineRule="auto"/>
              <w:jc w:val="both"/>
              <w:rPr>
                <w:b/>
                <w:bCs/>
                <w:sz w:val="20"/>
                <w:szCs w:val="20"/>
              </w:rPr>
            </w:pPr>
            <w:r w:rsidRPr="00D3506F">
              <w:rPr>
                <w:bCs/>
                <w:sz w:val="20"/>
                <w:szCs w:val="20"/>
              </w:rPr>
              <w:t xml:space="preserve">Indonesia's recent Ministerial policy, </w:t>
            </w:r>
            <w:r>
              <w:rPr>
                <w:bCs/>
                <w:sz w:val="20"/>
                <w:szCs w:val="20"/>
              </w:rPr>
              <w:t>“</w:t>
            </w:r>
            <w:r w:rsidRPr="00D3506F">
              <w:rPr>
                <w:bCs/>
                <w:sz w:val="20"/>
                <w:szCs w:val="20"/>
              </w:rPr>
              <w:t>Freedom in Learning and Campus</w:t>
            </w:r>
            <w:r>
              <w:rPr>
                <w:bCs/>
                <w:sz w:val="20"/>
                <w:szCs w:val="20"/>
              </w:rPr>
              <w:t>"</w:t>
            </w:r>
            <w:r w:rsidRPr="00D3506F">
              <w:rPr>
                <w:bCs/>
                <w:sz w:val="20"/>
                <w:szCs w:val="20"/>
              </w:rPr>
              <w:t>, motivates universities to pursue better and, if possible, international accreditation. This is done through performance-based funding, with the Ministry of Education promising at least an IDR500 million incentive (about USD35,700) to universities that meet eight points of quality achievement directly related to improved accreditation.</w:t>
            </w:r>
            <w:r>
              <w:rPr>
                <w:bCs/>
                <w:sz w:val="20"/>
                <w:szCs w:val="20"/>
              </w:rPr>
              <w:t xml:space="preserve"> </w:t>
            </w:r>
            <w:r w:rsidRPr="00D3506F">
              <w:rPr>
                <w:bCs/>
                <w:sz w:val="20"/>
                <w:szCs w:val="20"/>
              </w:rPr>
              <w:t>However, this policy raises concerns about the clash between the pursuit of inclusive education and capitalistic approaches in Indonesian higher education. It is important to find a way to balance these two competing goals.</w:t>
            </w:r>
          </w:p>
        </w:tc>
      </w:tr>
      <w:tr w:rsidR="001D7E6F" w:rsidRPr="0066666C" w14:paraId="288BDFBE" w14:textId="77777777" w:rsidTr="007E2C1B">
        <w:tc>
          <w:tcPr>
            <w:tcW w:w="328" w:type="dxa"/>
            <w:shd w:val="clear" w:color="auto" w:fill="D0CECE" w:themeFill="background2" w:themeFillShade="E6"/>
          </w:tcPr>
          <w:p w14:paraId="73E649AB" w14:textId="5C208DB9" w:rsidR="001D7E6F" w:rsidRPr="000C28D1" w:rsidRDefault="001D7E6F" w:rsidP="000C28D1">
            <w:pPr>
              <w:spacing w:line="240" w:lineRule="auto"/>
              <w:rPr>
                <w:b/>
                <w:sz w:val="20"/>
                <w:szCs w:val="20"/>
              </w:rPr>
            </w:pPr>
            <w:r w:rsidRPr="000C28D1">
              <w:rPr>
                <w:b/>
                <w:sz w:val="20"/>
                <w:szCs w:val="20"/>
              </w:rPr>
              <w:t>2</w:t>
            </w:r>
          </w:p>
        </w:tc>
        <w:tc>
          <w:tcPr>
            <w:tcW w:w="9022" w:type="dxa"/>
          </w:tcPr>
          <w:p w14:paraId="7D7A2533" w14:textId="77777777" w:rsidR="000C28D1" w:rsidRPr="000C28D1" w:rsidRDefault="001D7E6F" w:rsidP="000C28D1">
            <w:pPr>
              <w:spacing w:line="240" w:lineRule="auto"/>
              <w:jc w:val="both"/>
              <w:rPr>
                <w:b/>
                <w:sz w:val="20"/>
                <w:szCs w:val="20"/>
              </w:rPr>
            </w:pPr>
            <w:r w:rsidRPr="000C28D1">
              <w:rPr>
                <w:b/>
                <w:sz w:val="20"/>
                <w:szCs w:val="20"/>
              </w:rPr>
              <w:t xml:space="preserve">Tran Thi Hue, Ph.D. </w:t>
            </w:r>
          </w:p>
          <w:p w14:paraId="2D6220AA" w14:textId="24481C80" w:rsidR="001D7E6F" w:rsidRPr="000C28D1" w:rsidRDefault="001D7E6F" w:rsidP="000C28D1">
            <w:pPr>
              <w:spacing w:line="240" w:lineRule="auto"/>
              <w:jc w:val="both"/>
              <w:rPr>
                <w:b/>
                <w:sz w:val="20"/>
                <w:szCs w:val="20"/>
              </w:rPr>
            </w:pPr>
            <w:r w:rsidRPr="000C28D1">
              <w:rPr>
                <w:bCs/>
                <w:sz w:val="20"/>
                <w:szCs w:val="20"/>
              </w:rPr>
              <w:t>(Kobe Women’s University, JAPAN)</w:t>
            </w:r>
          </w:p>
        </w:tc>
      </w:tr>
      <w:tr w:rsidR="007E2C1B" w:rsidRPr="0066666C" w14:paraId="72CED7E8" w14:textId="77777777" w:rsidTr="00BB7451">
        <w:tc>
          <w:tcPr>
            <w:tcW w:w="9350" w:type="dxa"/>
            <w:gridSpan w:val="2"/>
          </w:tcPr>
          <w:p w14:paraId="242CBBE4" w14:textId="16E9C9B0" w:rsidR="007E2C1B" w:rsidRPr="001D7E6F" w:rsidRDefault="007E2C1B" w:rsidP="000C28D1">
            <w:pPr>
              <w:spacing w:line="240" w:lineRule="auto"/>
              <w:jc w:val="both"/>
              <w:rPr>
                <w:b/>
                <w:sz w:val="20"/>
                <w:szCs w:val="20"/>
              </w:rPr>
            </w:pPr>
            <w:r w:rsidRPr="00E55CB2">
              <w:rPr>
                <w:b/>
                <w:sz w:val="20"/>
                <w:szCs w:val="20"/>
              </w:rPr>
              <w:t xml:space="preserve">“Prevalence and </w:t>
            </w:r>
            <w:r w:rsidR="00B71798">
              <w:rPr>
                <w:b/>
                <w:sz w:val="20"/>
                <w:szCs w:val="20"/>
              </w:rPr>
              <w:t>R</w:t>
            </w:r>
            <w:r w:rsidRPr="00E55CB2">
              <w:rPr>
                <w:b/>
                <w:sz w:val="20"/>
                <w:szCs w:val="20"/>
              </w:rPr>
              <w:t xml:space="preserve">isk </w:t>
            </w:r>
            <w:r w:rsidR="00B71798">
              <w:rPr>
                <w:b/>
                <w:sz w:val="20"/>
                <w:szCs w:val="20"/>
              </w:rPr>
              <w:t>F</w:t>
            </w:r>
            <w:r w:rsidRPr="00E55CB2">
              <w:rPr>
                <w:b/>
                <w:sz w:val="20"/>
                <w:szCs w:val="20"/>
              </w:rPr>
              <w:t xml:space="preserve">actors </w:t>
            </w:r>
            <w:r w:rsidR="00B71798">
              <w:rPr>
                <w:b/>
                <w:sz w:val="20"/>
                <w:szCs w:val="20"/>
              </w:rPr>
              <w:t>A</w:t>
            </w:r>
            <w:r w:rsidRPr="00E55CB2">
              <w:rPr>
                <w:b/>
                <w:sz w:val="20"/>
                <w:szCs w:val="20"/>
              </w:rPr>
              <w:t xml:space="preserve">ssociated with </w:t>
            </w:r>
            <w:r w:rsidR="00B71798">
              <w:rPr>
                <w:b/>
                <w:sz w:val="20"/>
                <w:szCs w:val="20"/>
              </w:rPr>
              <w:t>M</w:t>
            </w:r>
            <w:r w:rsidRPr="00E55CB2">
              <w:rPr>
                <w:b/>
                <w:sz w:val="20"/>
                <w:szCs w:val="20"/>
              </w:rPr>
              <w:t xml:space="preserve">ental </w:t>
            </w:r>
            <w:r w:rsidR="00B71798">
              <w:rPr>
                <w:b/>
                <w:sz w:val="20"/>
                <w:szCs w:val="20"/>
              </w:rPr>
              <w:t>H</w:t>
            </w:r>
            <w:r w:rsidRPr="00E55CB2">
              <w:rPr>
                <w:b/>
                <w:sz w:val="20"/>
                <w:szCs w:val="20"/>
              </w:rPr>
              <w:t xml:space="preserve">ealth of Vietnamese </w:t>
            </w:r>
            <w:r w:rsidR="00B71798">
              <w:rPr>
                <w:b/>
                <w:sz w:val="20"/>
                <w:szCs w:val="20"/>
              </w:rPr>
              <w:t>S</w:t>
            </w:r>
            <w:r w:rsidRPr="00E55CB2">
              <w:rPr>
                <w:b/>
                <w:sz w:val="20"/>
                <w:szCs w:val="20"/>
              </w:rPr>
              <w:t xml:space="preserve">tudents in Japan during the COVID-19 </w:t>
            </w:r>
            <w:r w:rsidR="00B71798">
              <w:rPr>
                <w:b/>
                <w:sz w:val="20"/>
                <w:szCs w:val="20"/>
              </w:rPr>
              <w:t>P</w:t>
            </w:r>
            <w:r w:rsidRPr="00E55CB2">
              <w:rPr>
                <w:b/>
                <w:sz w:val="20"/>
                <w:szCs w:val="20"/>
              </w:rPr>
              <w:t>andemic”</w:t>
            </w:r>
          </w:p>
          <w:p w14:paraId="337A384E" w14:textId="289645FA" w:rsidR="008934D1" w:rsidRPr="008934D1" w:rsidRDefault="007E2C1B" w:rsidP="000C28D1">
            <w:pPr>
              <w:spacing w:line="240" w:lineRule="auto"/>
              <w:jc w:val="both"/>
              <w:rPr>
                <w:bCs/>
                <w:sz w:val="20"/>
                <w:szCs w:val="20"/>
              </w:rPr>
            </w:pPr>
            <w:r w:rsidRPr="00D3506F">
              <w:rPr>
                <w:bCs/>
                <w:sz w:val="20"/>
                <w:szCs w:val="20"/>
              </w:rPr>
              <w:t>This study assesses the health and economic challenges faced by Vietnamese students living in Japan during the COVID-19 pandemic. A cross-sectional study of 589 Vietnamese residents in Japan found that nearly half of the participants had depressive symptoms higher than the general population. Students reported a higher prevalence of depressive symptoms than those with other resident statuses. Multivariable logistic regression analysis revealed that more severe depressive symptoms were associated with poor self-perception of health and difficulties in accessing healthcare. However, perceived social support was found to protect against depression. Findings from this study can guide efforts to build effective public health approaches to reduce the mental health burden among vulnerable populations in Japan and globally.</w:t>
            </w:r>
            <w:r w:rsidR="008934D1">
              <w:rPr>
                <w:bCs/>
                <w:sz w:val="20"/>
                <w:szCs w:val="20"/>
              </w:rPr>
              <w:t xml:space="preserve"> (More can be </w:t>
            </w:r>
          </w:p>
        </w:tc>
      </w:tr>
      <w:tr w:rsidR="001D7E6F" w:rsidRPr="0066666C" w14:paraId="44B9CCD3" w14:textId="77777777" w:rsidTr="007E2C1B">
        <w:tc>
          <w:tcPr>
            <w:tcW w:w="328" w:type="dxa"/>
            <w:shd w:val="clear" w:color="auto" w:fill="D0CECE" w:themeFill="background2" w:themeFillShade="E6"/>
          </w:tcPr>
          <w:p w14:paraId="19134887" w14:textId="7325262C" w:rsidR="001D7E6F" w:rsidRPr="000C28D1" w:rsidRDefault="001D7E6F" w:rsidP="000C28D1">
            <w:pPr>
              <w:spacing w:line="240" w:lineRule="auto"/>
              <w:rPr>
                <w:b/>
                <w:sz w:val="20"/>
                <w:szCs w:val="20"/>
              </w:rPr>
            </w:pPr>
            <w:r w:rsidRPr="000C28D1">
              <w:rPr>
                <w:b/>
                <w:sz w:val="20"/>
                <w:szCs w:val="20"/>
              </w:rPr>
              <w:t>3</w:t>
            </w:r>
          </w:p>
        </w:tc>
        <w:tc>
          <w:tcPr>
            <w:tcW w:w="9022" w:type="dxa"/>
          </w:tcPr>
          <w:p w14:paraId="4FC55245" w14:textId="77777777" w:rsidR="000C28D1" w:rsidRPr="000C28D1" w:rsidRDefault="001D7E6F" w:rsidP="000C28D1">
            <w:pPr>
              <w:spacing w:line="240" w:lineRule="auto"/>
              <w:jc w:val="both"/>
              <w:rPr>
                <w:b/>
                <w:sz w:val="20"/>
                <w:szCs w:val="20"/>
              </w:rPr>
            </w:pPr>
            <w:proofErr w:type="spellStart"/>
            <w:r w:rsidRPr="000C28D1">
              <w:rPr>
                <w:b/>
                <w:sz w:val="20"/>
                <w:szCs w:val="20"/>
              </w:rPr>
              <w:t>Numtip</w:t>
            </w:r>
            <w:proofErr w:type="spellEnd"/>
            <w:r w:rsidRPr="000C28D1">
              <w:rPr>
                <w:b/>
                <w:sz w:val="20"/>
                <w:szCs w:val="20"/>
              </w:rPr>
              <w:t xml:space="preserve"> </w:t>
            </w:r>
            <w:proofErr w:type="spellStart"/>
            <w:r w:rsidRPr="000C28D1">
              <w:rPr>
                <w:b/>
                <w:sz w:val="20"/>
                <w:szCs w:val="20"/>
              </w:rPr>
              <w:t>Smerchuar</w:t>
            </w:r>
            <w:proofErr w:type="spellEnd"/>
            <w:r w:rsidRPr="000C28D1">
              <w:rPr>
                <w:b/>
                <w:sz w:val="20"/>
                <w:szCs w:val="20"/>
              </w:rPr>
              <w:t xml:space="preserve">, Ph.D. </w:t>
            </w:r>
          </w:p>
          <w:p w14:paraId="00547FDC" w14:textId="51F21966" w:rsidR="001D7E6F" w:rsidRPr="000C28D1" w:rsidRDefault="001D7E6F" w:rsidP="000C28D1">
            <w:pPr>
              <w:spacing w:line="240" w:lineRule="auto"/>
              <w:jc w:val="both"/>
              <w:rPr>
                <w:b/>
                <w:sz w:val="20"/>
                <w:szCs w:val="20"/>
              </w:rPr>
            </w:pPr>
            <w:r w:rsidRPr="000C28D1">
              <w:rPr>
                <w:bCs/>
                <w:sz w:val="20"/>
                <w:szCs w:val="20"/>
              </w:rPr>
              <w:t>(University of Phayao, THAILAND)</w:t>
            </w:r>
          </w:p>
        </w:tc>
      </w:tr>
      <w:tr w:rsidR="007E2C1B" w:rsidRPr="0066666C" w14:paraId="6AAFC4A1" w14:textId="77777777" w:rsidTr="004D7B0F">
        <w:tc>
          <w:tcPr>
            <w:tcW w:w="9350" w:type="dxa"/>
            <w:gridSpan w:val="2"/>
          </w:tcPr>
          <w:p w14:paraId="6FE6DF30" w14:textId="527EF2E7" w:rsidR="007E2C1B" w:rsidRPr="001D7E6F" w:rsidRDefault="007E2C1B" w:rsidP="000C28D1">
            <w:pPr>
              <w:spacing w:line="240" w:lineRule="auto"/>
              <w:jc w:val="both"/>
              <w:rPr>
                <w:b/>
                <w:sz w:val="20"/>
                <w:szCs w:val="20"/>
              </w:rPr>
            </w:pPr>
            <w:r w:rsidRPr="00E55CB2">
              <w:rPr>
                <w:b/>
                <w:sz w:val="20"/>
                <w:szCs w:val="20"/>
              </w:rPr>
              <w:t xml:space="preserve">“Life-long Learning Policy in Higher Education: </w:t>
            </w:r>
            <w:r w:rsidR="00B71798" w:rsidRPr="00E55CB2">
              <w:rPr>
                <w:b/>
                <w:sz w:val="20"/>
                <w:szCs w:val="20"/>
              </w:rPr>
              <w:t>The</w:t>
            </w:r>
            <w:r w:rsidRPr="00E55CB2">
              <w:rPr>
                <w:b/>
                <w:sz w:val="20"/>
                <w:szCs w:val="20"/>
              </w:rPr>
              <w:t xml:space="preserve"> Next Step of Educational Reform?”</w:t>
            </w:r>
          </w:p>
          <w:p w14:paraId="7991D546" w14:textId="39C25941" w:rsidR="007E2C1B" w:rsidRPr="00E55CB2" w:rsidRDefault="007E2C1B" w:rsidP="000C28D1">
            <w:pPr>
              <w:spacing w:line="240" w:lineRule="auto"/>
              <w:jc w:val="both"/>
              <w:rPr>
                <w:b/>
                <w:sz w:val="20"/>
                <w:szCs w:val="20"/>
              </w:rPr>
            </w:pPr>
            <w:r w:rsidRPr="00E55CB2">
              <w:rPr>
                <w:bCs/>
                <w:sz w:val="20"/>
                <w:szCs w:val="20"/>
              </w:rPr>
              <w:t>Lifelong learning is essential in today's rapidly changing world, where workers need to learn new skills to stay ahead of the curve (World Economic Forum, 2020). Digital technology is a driving factor behind this need for lifelong learning (UNESCO-IBE, 2016).</w:t>
            </w:r>
            <w:r>
              <w:rPr>
                <w:bCs/>
                <w:sz w:val="20"/>
                <w:szCs w:val="20"/>
              </w:rPr>
              <w:t xml:space="preserve"> L</w:t>
            </w:r>
            <w:r w:rsidRPr="00E55CB2">
              <w:rPr>
                <w:bCs/>
                <w:sz w:val="20"/>
                <w:szCs w:val="20"/>
              </w:rPr>
              <w:t>earners can now choose from a variety of online and in-person learning opportunities, tailored to their individual needs and interests (Leong, Sung, Au, and Blanchard, 2020).</w:t>
            </w:r>
            <w:r>
              <w:rPr>
                <w:bCs/>
                <w:sz w:val="20"/>
                <w:szCs w:val="20"/>
              </w:rPr>
              <w:t xml:space="preserve"> This trend increases particularly after the Global Covin-19 pandemic.</w:t>
            </w:r>
            <w:r w:rsidRPr="00E55CB2">
              <w:rPr>
                <w:bCs/>
                <w:sz w:val="20"/>
                <w:szCs w:val="20"/>
              </w:rPr>
              <w:t xml:space="preserve"> Lifelong learning can significantly reduce employment loss and skill lag (Allen &amp; de Grip, 2007).</w:t>
            </w:r>
          </w:p>
        </w:tc>
      </w:tr>
      <w:tr w:rsidR="001D7E6F" w:rsidRPr="0066666C" w14:paraId="376E9A3B" w14:textId="77777777" w:rsidTr="007E2C1B">
        <w:tc>
          <w:tcPr>
            <w:tcW w:w="328" w:type="dxa"/>
            <w:shd w:val="clear" w:color="auto" w:fill="D0CECE" w:themeFill="background2" w:themeFillShade="E6"/>
          </w:tcPr>
          <w:p w14:paraId="26F39372" w14:textId="733651F4" w:rsidR="001D7E6F" w:rsidRPr="000C28D1" w:rsidRDefault="001D7E6F" w:rsidP="000C28D1">
            <w:pPr>
              <w:spacing w:line="240" w:lineRule="auto"/>
              <w:rPr>
                <w:b/>
                <w:sz w:val="20"/>
                <w:szCs w:val="20"/>
              </w:rPr>
            </w:pPr>
            <w:r w:rsidRPr="000C28D1">
              <w:rPr>
                <w:b/>
                <w:sz w:val="20"/>
                <w:szCs w:val="20"/>
              </w:rPr>
              <w:t>4</w:t>
            </w:r>
          </w:p>
        </w:tc>
        <w:tc>
          <w:tcPr>
            <w:tcW w:w="9022" w:type="dxa"/>
          </w:tcPr>
          <w:p w14:paraId="5F9E1A30" w14:textId="77777777" w:rsidR="000C28D1" w:rsidRPr="000C28D1" w:rsidRDefault="001D7E6F" w:rsidP="000C28D1">
            <w:pPr>
              <w:spacing w:line="240" w:lineRule="auto"/>
              <w:jc w:val="both"/>
              <w:rPr>
                <w:b/>
                <w:sz w:val="20"/>
                <w:szCs w:val="20"/>
              </w:rPr>
            </w:pPr>
            <w:r w:rsidRPr="000C28D1">
              <w:rPr>
                <w:b/>
                <w:sz w:val="20"/>
                <w:szCs w:val="20"/>
              </w:rPr>
              <w:t xml:space="preserve">Deborrah </w:t>
            </w:r>
            <w:proofErr w:type="spellStart"/>
            <w:r w:rsidRPr="000C28D1">
              <w:rPr>
                <w:b/>
                <w:sz w:val="20"/>
                <w:szCs w:val="20"/>
              </w:rPr>
              <w:t>Sadile</w:t>
            </w:r>
            <w:proofErr w:type="spellEnd"/>
            <w:r w:rsidRPr="000C28D1">
              <w:rPr>
                <w:b/>
                <w:sz w:val="20"/>
                <w:szCs w:val="20"/>
              </w:rPr>
              <w:t xml:space="preserve"> Anastacio, Ph.D. </w:t>
            </w:r>
          </w:p>
          <w:p w14:paraId="7A054680" w14:textId="5FF1F057" w:rsidR="001D7E6F" w:rsidRPr="000C28D1" w:rsidRDefault="001D7E6F" w:rsidP="000C28D1">
            <w:pPr>
              <w:spacing w:line="240" w:lineRule="auto"/>
              <w:jc w:val="both"/>
              <w:rPr>
                <w:b/>
                <w:sz w:val="20"/>
                <w:szCs w:val="20"/>
              </w:rPr>
            </w:pPr>
            <w:r w:rsidRPr="000C28D1">
              <w:rPr>
                <w:bCs/>
                <w:sz w:val="20"/>
                <w:szCs w:val="20"/>
              </w:rPr>
              <w:t>(</w:t>
            </w:r>
            <w:r w:rsidRPr="000C28D1">
              <w:rPr>
                <w:sz w:val="20"/>
                <w:szCs w:val="20"/>
              </w:rPr>
              <w:t>De La Salle University Manila, PHILIPPINES)</w:t>
            </w:r>
          </w:p>
        </w:tc>
      </w:tr>
      <w:tr w:rsidR="007E2C1B" w:rsidRPr="0066666C" w14:paraId="064D441F" w14:textId="77777777" w:rsidTr="009E6CF1">
        <w:tc>
          <w:tcPr>
            <w:tcW w:w="9350" w:type="dxa"/>
            <w:gridSpan w:val="2"/>
          </w:tcPr>
          <w:p w14:paraId="74BE3C85" w14:textId="38B57668" w:rsidR="007E2C1B" w:rsidRPr="00E55CB2" w:rsidRDefault="007E2C1B" w:rsidP="000C28D1">
            <w:pPr>
              <w:spacing w:line="240" w:lineRule="auto"/>
              <w:jc w:val="both"/>
              <w:rPr>
                <w:b/>
                <w:bCs/>
                <w:sz w:val="20"/>
                <w:szCs w:val="20"/>
              </w:rPr>
            </w:pPr>
            <w:r w:rsidRPr="00E55CB2">
              <w:rPr>
                <w:b/>
                <w:bCs/>
                <w:sz w:val="20"/>
                <w:szCs w:val="20"/>
              </w:rPr>
              <w:t>“The Direction of the Indigenization of Filipino Psychology in DLSU-CLA”</w:t>
            </w:r>
          </w:p>
          <w:p w14:paraId="1FB1E28F" w14:textId="353E5B0F" w:rsidR="007E2C1B" w:rsidRPr="0066666C" w:rsidRDefault="007E2C1B" w:rsidP="000C28D1">
            <w:pPr>
              <w:spacing w:line="240" w:lineRule="auto"/>
              <w:jc w:val="both"/>
              <w:rPr>
                <w:bCs/>
                <w:sz w:val="20"/>
                <w:szCs w:val="20"/>
              </w:rPr>
            </w:pPr>
            <w:r w:rsidRPr="00E55CB2">
              <w:rPr>
                <w:bCs/>
                <w:sz w:val="20"/>
                <w:szCs w:val="20"/>
              </w:rPr>
              <w:t xml:space="preserve">Filipino Psychology, or </w:t>
            </w:r>
            <w:proofErr w:type="spellStart"/>
            <w:r w:rsidRPr="00E55CB2">
              <w:rPr>
                <w:bCs/>
                <w:sz w:val="20"/>
                <w:szCs w:val="20"/>
              </w:rPr>
              <w:t>Sikolohiyang</w:t>
            </w:r>
            <w:proofErr w:type="spellEnd"/>
            <w:r w:rsidRPr="00E55CB2">
              <w:rPr>
                <w:bCs/>
                <w:sz w:val="20"/>
                <w:szCs w:val="20"/>
              </w:rPr>
              <w:t xml:space="preserve"> Pilipino (SP), is a type of alternative psychology that emerged in the late 1960s and early 1970s in response to the incompatibility of Western psychology with non-Western cultures.</w:t>
            </w:r>
            <w:r>
              <w:rPr>
                <w:bCs/>
                <w:sz w:val="20"/>
                <w:szCs w:val="20"/>
              </w:rPr>
              <w:t xml:space="preserve"> </w:t>
            </w:r>
            <w:r w:rsidRPr="00E55CB2">
              <w:rPr>
                <w:bCs/>
                <w:sz w:val="20"/>
                <w:szCs w:val="20"/>
              </w:rPr>
              <w:t>In the Philippines, SP was pioneered by Dr. Virgilio G. Enriquez, Dr. Zeus A. Salazar, and Dr. Prospero R. Covar at the University of the Philippines, and by Br. Andrew B. Gonzales, FSC at De La Salle University.</w:t>
            </w:r>
            <w:r>
              <w:rPr>
                <w:bCs/>
                <w:sz w:val="20"/>
                <w:szCs w:val="20"/>
              </w:rPr>
              <w:t xml:space="preserve"> </w:t>
            </w:r>
            <w:r w:rsidRPr="00E55CB2">
              <w:rPr>
                <w:bCs/>
                <w:sz w:val="20"/>
                <w:szCs w:val="20"/>
              </w:rPr>
              <w:t>This study aims to add to the overview of SP in the Philippines by examining the research on SP published by scholars at Philippine institutions.</w:t>
            </w:r>
          </w:p>
        </w:tc>
      </w:tr>
      <w:tr w:rsidR="001D7E6F" w:rsidRPr="0066666C" w14:paraId="5F0B86E1" w14:textId="77777777" w:rsidTr="007E2C1B">
        <w:tc>
          <w:tcPr>
            <w:tcW w:w="328" w:type="dxa"/>
            <w:shd w:val="clear" w:color="auto" w:fill="D0CECE" w:themeFill="background2" w:themeFillShade="E6"/>
          </w:tcPr>
          <w:p w14:paraId="291F9B7B" w14:textId="05F2F41B" w:rsidR="001D7E6F" w:rsidRPr="000C28D1" w:rsidRDefault="001D7E6F" w:rsidP="000C28D1">
            <w:pPr>
              <w:spacing w:line="240" w:lineRule="auto"/>
              <w:rPr>
                <w:b/>
                <w:sz w:val="20"/>
                <w:szCs w:val="20"/>
              </w:rPr>
            </w:pPr>
            <w:r w:rsidRPr="000C28D1">
              <w:rPr>
                <w:b/>
                <w:sz w:val="20"/>
                <w:szCs w:val="20"/>
              </w:rPr>
              <w:t>5</w:t>
            </w:r>
          </w:p>
        </w:tc>
        <w:tc>
          <w:tcPr>
            <w:tcW w:w="9022" w:type="dxa"/>
          </w:tcPr>
          <w:p w14:paraId="22856621" w14:textId="77777777" w:rsidR="000C28D1" w:rsidRPr="000C28D1" w:rsidRDefault="001D7E6F" w:rsidP="000C28D1">
            <w:pPr>
              <w:spacing w:line="240" w:lineRule="auto"/>
              <w:jc w:val="both"/>
              <w:rPr>
                <w:b/>
                <w:sz w:val="20"/>
                <w:szCs w:val="20"/>
              </w:rPr>
            </w:pPr>
            <w:r w:rsidRPr="000C28D1">
              <w:rPr>
                <w:b/>
                <w:sz w:val="20"/>
                <w:szCs w:val="20"/>
              </w:rPr>
              <w:t xml:space="preserve">Leslie Anne L. Liwanag, Ph.D. </w:t>
            </w:r>
          </w:p>
          <w:p w14:paraId="5DD56834" w14:textId="02197B1C" w:rsidR="001D7E6F" w:rsidRPr="000C28D1" w:rsidRDefault="001D7E6F" w:rsidP="000C28D1">
            <w:pPr>
              <w:spacing w:line="240" w:lineRule="auto"/>
              <w:jc w:val="both"/>
              <w:rPr>
                <w:b/>
                <w:sz w:val="20"/>
                <w:szCs w:val="20"/>
              </w:rPr>
            </w:pPr>
            <w:r w:rsidRPr="000C28D1">
              <w:rPr>
                <w:bCs/>
                <w:sz w:val="20"/>
                <w:szCs w:val="20"/>
              </w:rPr>
              <w:t>(</w:t>
            </w:r>
            <w:r w:rsidR="00252BFC" w:rsidRPr="00252BFC">
              <w:rPr>
                <w:bCs/>
                <w:sz w:val="20"/>
                <w:szCs w:val="20"/>
              </w:rPr>
              <w:t>De La Salle University - School of Innovation and Sustainability</w:t>
            </w:r>
            <w:r w:rsidRPr="000C28D1">
              <w:rPr>
                <w:bCs/>
                <w:sz w:val="20"/>
                <w:szCs w:val="20"/>
              </w:rPr>
              <w:t xml:space="preserve">, </w:t>
            </w:r>
            <w:r w:rsidRPr="000C28D1">
              <w:rPr>
                <w:sz w:val="20"/>
                <w:szCs w:val="20"/>
              </w:rPr>
              <w:t>PHILIPPINES)</w:t>
            </w:r>
          </w:p>
        </w:tc>
      </w:tr>
      <w:tr w:rsidR="007E2C1B" w:rsidRPr="0066666C" w14:paraId="7F72E771" w14:textId="77777777" w:rsidTr="002A57B6">
        <w:tc>
          <w:tcPr>
            <w:tcW w:w="9350" w:type="dxa"/>
            <w:gridSpan w:val="2"/>
          </w:tcPr>
          <w:p w14:paraId="147FE5A7" w14:textId="1E0D1FFA" w:rsidR="007E2C1B" w:rsidRPr="001D7E6F" w:rsidRDefault="007E2C1B" w:rsidP="000C28D1">
            <w:pPr>
              <w:spacing w:line="240" w:lineRule="auto"/>
              <w:jc w:val="both"/>
              <w:rPr>
                <w:b/>
                <w:bCs/>
                <w:sz w:val="20"/>
                <w:szCs w:val="20"/>
              </w:rPr>
            </w:pPr>
            <w:r w:rsidRPr="00E55CB2">
              <w:rPr>
                <w:b/>
                <w:bCs/>
                <w:sz w:val="20"/>
                <w:szCs w:val="20"/>
              </w:rPr>
              <w:t xml:space="preserve">“A Comparative Analysis of the English and Filipino ChatGPT Translations from the Existing Translations of the Philippine National Anthem” </w:t>
            </w:r>
          </w:p>
          <w:p w14:paraId="6DC6D1FE" w14:textId="0999E83A" w:rsidR="007E2C1B" w:rsidRDefault="007E2C1B" w:rsidP="000C28D1">
            <w:pPr>
              <w:spacing w:line="240" w:lineRule="auto"/>
              <w:jc w:val="both"/>
              <w:rPr>
                <w:bCs/>
                <w:sz w:val="20"/>
                <w:szCs w:val="20"/>
              </w:rPr>
            </w:pPr>
            <w:r w:rsidRPr="00E55CB2">
              <w:rPr>
                <w:bCs/>
                <w:sz w:val="20"/>
                <w:szCs w:val="20"/>
              </w:rPr>
              <w:t>This study aims to analyze ChatGPT's translation capabilities in Filipino and English by translating the Spanish poem "Filipinas'" by Jose Palma into these two languages.</w:t>
            </w:r>
            <w:r>
              <w:rPr>
                <w:bCs/>
                <w:sz w:val="20"/>
                <w:szCs w:val="20"/>
              </w:rPr>
              <w:t xml:space="preserve"> </w:t>
            </w:r>
            <w:r w:rsidRPr="00E55CB2">
              <w:rPr>
                <w:bCs/>
                <w:sz w:val="20"/>
                <w:szCs w:val="20"/>
              </w:rPr>
              <w:t>The translations generated by ChatGPT will be compared to the existing translations of 1) "Land of the Morning" by Osias and Lane in English and 2) "</w:t>
            </w:r>
            <w:proofErr w:type="spellStart"/>
            <w:r w:rsidRPr="00E55CB2">
              <w:rPr>
                <w:bCs/>
                <w:sz w:val="20"/>
                <w:szCs w:val="20"/>
              </w:rPr>
              <w:t>Lupang</w:t>
            </w:r>
            <w:proofErr w:type="spellEnd"/>
            <w:r w:rsidRPr="00E55CB2">
              <w:rPr>
                <w:bCs/>
                <w:sz w:val="20"/>
                <w:szCs w:val="20"/>
              </w:rPr>
              <w:t xml:space="preserve"> </w:t>
            </w:r>
            <w:proofErr w:type="spellStart"/>
            <w:r w:rsidRPr="00E55CB2">
              <w:rPr>
                <w:bCs/>
                <w:sz w:val="20"/>
                <w:szCs w:val="20"/>
              </w:rPr>
              <w:t>Hinirang</w:t>
            </w:r>
            <w:proofErr w:type="spellEnd"/>
            <w:r w:rsidRPr="00E55CB2">
              <w:rPr>
                <w:bCs/>
                <w:sz w:val="20"/>
                <w:szCs w:val="20"/>
              </w:rPr>
              <w:t>" by de Leon in Filipino, using Friedrich Daniel Ernst Schleiermacher's (1768-1834) translation theory.</w:t>
            </w:r>
            <w:r>
              <w:rPr>
                <w:bCs/>
                <w:sz w:val="20"/>
                <w:szCs w:val="20"/>
              </w:rPr>
              <w:t xml:space="preserve"> </w:t>
            </w:r>
            <w:r w:rsidRPr="00E55CB2">
              <w:rPr>
                <w:bCs/>
                <w:sz w:val="20"/>
                <w:szCs w:val="20"/>
              </w:rPr>
              <w:t>This study is important for students and scholars of cultural studies to test the potential of AI in translation and explore the controversial implications of AI, as it is believed to potentially replace certain professions such as human translation.</w:t>
            </w:r>
          </w:p>
        </w:tc>
      </w:tr>
    </w:tbl>
    <w:p w14:paraId="5CDB85DC" w14:textId="77777777" w:rsidR="004B1874" w:rsidRPr="004B1874" w:rsidRDefault="004B1874" w:rsidP="00DA0B62">
      <w:pPr>
        <w:rPr>
          <w:bCs/>
        </w:rPr>
      </w:pPr>
    </w:p>
    <w:sectPr w:rsidR="004B1874" w:rsidRPr="004B18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2C1"/>
    <w:multiLevelType w:val="hybridMultilevel"/>
    <w:tmpl w:val="A0962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3D041A"/>
    <w:multiLevelType w:val="hybridMultilevel"/>
    <w:tmpl w:val="A096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1541A"/>
    <w:multiLevelType w:val="hybridMultilevel"/>
    <w:tmpl w:val="A1D86896"/>
    <w:lvl w:ilvl="0" w:tplc="A2B8F47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F108C"/>
    <w:multiLevelType w:val="hybridMultilevel"/>
    <w:tmpl w:val="A0962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2949F5"/>
    <w:multiLevelType w:val="hybridMultilevel"/>
    <w:tmpl w:val="45F2BDC4"/>
    <w:lvl w:ilvl="0" w:tplc="253600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634265"/>
    <w:multiLevelType w:val="hybridMultilevel"/>
    <w:tmpl w:val="A0962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1268A0"/>
    <w:multiLevelType w:val="hybridMultilevel"/>
    <w:tmpl w:val="A0962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B46CC6"/>
    <w:multiLevelType w:val="hybridMultilevel"/>
    <w:tmpl w:val="A0962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750017">
    <w:abstractNumId w:val="1"/>
  </w:num>
  <w:num w:numId="2" w16cid:durableId="1045374209">
    <w:abstractNumId w:val="7"/>
  </w:num>
  <w:num w:numId="3" w16cid:durableId="1446732546">
    <w:abstractNumId w:val="0"/>
  </w:num>
  <w:num w:numId="4" w16cid:durableId="446392895">
    <w:abstractNumId w:val="6"/>
  </w:num>
  <w:num w:numId="5" w16cid:durableId="1831677064">
    <w:abstractNumId w:val="5"/>
  </w:num>
  <w:num w:numId="6" w16cid:durableId="1932204913">
    <w:abstractNumId w:val="3"/>
  </w:num>
  <w:num w:numId="7" w16cid:durableId="1483425848">
    <w:abstractNumId w:val="2"/>
  </w:num>
  <w:num w:numId="8" w16cid:durableId="1301571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74"/>
    <w:rsid w:val="00012C74"/>
    <w:rsid w:val="000C28D1"/>
    <w:rsid w:val="001246E0"/>
    <w:rsid w:val="001268CA"/>
    <w:rsid w:val="001B29CC"/>
    <w:rsid w:val="001B38F4"/>
    <w:rsid w:val="001D7E6F"/>
    <w:rsid w:val="001E5F01"/>
    <w:rsid w:val="001F34B1"/>
    <w:rsid w:val="001F6C20"/>
    <w:rsid w:val="00223CC0"/>
    <w:rsid w:val="00252BFC"/>
    <w:rsid w:val="002555A2"/>
    <w:rsid w:val="0027407D"/>
    <w:rsid w:val="00274BC1"/>
    <w:rsid w:val="00284D86"/>
    <w:rsid w:val="002B7E7C"/>
    <w:rsid w:val="003114DD"/>
    <w:rsid w:val="00322708"/>
    <w:rsid w:val="003377C4"/>
    <w:rsid w:val="00345735"/>
    <w:rsid w:val="00375658"/>
    <w:rsid w:val="00392CED"/>
    <w:rsid w:val="003B0209"/>
    <w:rsid w:val="00407CFB"/>
    <w:rsid w:val="00410F9B"/>
    <w:rsid w:val="00417518"/>
    <w:rsid w:val="00420ECB"/>
    <w:rsid w:val="00471382"/>
    <w:rsid w:val="004B1874"/>
    <w:rsid w:val="004D0B17"/>
    <w:rsid w:val="004E37E6"/>
    <w:rsid w:val="004F2FBC"/>
    <w:rsid w:val="005172D6"/>
    <w:rsid w:val="005B4541"/>
    <w:rsid w:val="005B61DA"/>
    <w:rsid w:val="00633A5A"/>
    <w:rsid w:val="0066666C"/>
    <w:rsid w:val="006950CE"/>
    <w:rsid w:val="0069693C"/>
    <w:rsid w:val="006C3FFD"/>
    <w:rsid w:val="006C558E"/>
    <w:rsid w:val="006F1674"/>
    <w:rsid w:val="00700537"/>
    <w:rsid w:val="00726E14"/>
    <w:rsid w:val="0074459B"/>
    <w:rsid w:val="00754C60"/>
    <w:rsid w:val="007E2C1B"/>
    <w:rsid w:val="007E4EB3"/>
    <w:rsid w:val="007F1F57"/>
    <w:rsid w:val="0081298A"/>
    <w:rsid w:val="00814EAE"/>
    <w:rsid w:val="008542D3"/>
    <w:rsid w:val="008934D1"/>
    <w:rsid w:val="008D6982"/>
    <w:rsid w:val="008E455D"/>
    <w:rsid w:val="009125BA"/>
    <w:rsid w:val="00982174"/>
    <w:rsid w:val="00985979"/>
    <w:rsid w:val="009B08AD"/>
    <w:rsid w:val="009B4798"/>
    <w:rsid w:val="00A07B00"/>
    <w:rsid w:val="00A11B1C"/>
    <w:rsid w:val="00A343C3"/>
    <w:rsid w:val="00A35B9D"/>
    <w:rsid w:val="00A53102"/>
    <w:rsid w:val="00A6061C"/>
    <w:rsid w:val="00A71BA8"/>
    <w:rsid w:val="00AA6B36"/>
    <w:rsid w:val="00AC0752"/>
    <w:rsid w:val="00AC0EBB"/>
    <w:rsid w:val="00AC3A55"/>
    <w:rsid w:val="00B21A59"/>
    <w:rsid w:val="00B71798"/>
    <w:rsid w:val="00B90D51"/>
    <w:rsid w:val="00BA712B"/>
    <w:rsid w:val="00BC208D"/>
    <w:rsid w:val="00C32CF4"/>
    <w:rsid w:val="00C3557E"/>
    <w:rsid w:val="00C47B42"/>
    <w:rsid w:val="00C701B9"/>
    <w:rsid w:val="00CA045A"/>
    <w:rsid w:val="00CB71AE"/>
    <w:rsid w:val="00CB7342"/>
    <w:rsid w:val="00CF6AFD"/>
    <w:rsid w:val="00D3506F"/>
    <w:rsid w:val="00D37B4D"/>
    <w:rsid w:val="00D47177"/>
    <w:rsid w:val="00D97436"/>
    <w:rsid w:val="00DA0B62"/>
    <w:rsid w:val="00DB3049"/>
    <w:rsid w:val="00DD6C9B"/>
    <w:rsid w:val="00E12019"/>
    <w:rsid w:val="00E24E53"/>
    <w:rsid w:val="00E43FEA"/>
    <w:rsid w:val="00E55CB2"/>
    <w:rsid w:val="00E77473"/>
    <w:rsid w:val="00E8075D"/>
    <w:rsid w:val="00E807F0"/>
    <w:rsid w:val="00E83AF5"/>
    <w:rsid w:val="00E852D1"/>
    <w:rsid w:val="00EA32CF"/>
    <w:rsid w:val="00EA3713"/>
    <w:rsid w:val="00ED1C94"/>
    <w:rsid w:val="00F02564"/>
    <w:rsid w:val="00F10D5F"/>
    <w:rsid w:val="00F11D0D"/>
    <w:rsid w:val="00F42DAF"/>
    <w:rsid w:val="00F7524E"/>
    <w:rsid w:val="00F87329"/>
    <w:rsid w:val="00FB4289"/>
    <w:rsid w:val="00FC266A"/>
    <w:rsid w:val="00FD2BA2"/>
    <w:rsid w:val="00FE4268"/>
    <w:rsid w:val="00FF1F2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58EA"/>
  <w15:chartTrackingRefBased/>
  <w15:docId w15:val="{402A7E68-2980-3445-9F32-DCF85D8E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74"/>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4D0B17"/>
    <w:pPr>
      <w:keepNext/>
      <w:keepLines/>
      <w:spacing w:before="120" w:after="120"/>
      <w:jc w:val="both"/>
      <w:outlineLvl w:val="0"/>
    </w:pPr>
    <w:rPr>
      <w:rFonts w:ascii="Calibri" w:eastAsiaTheme="majorEastAsia" w:hAnsi="Calibri" w:cstheme="majorBidi"/>
      <w:b/>
      <w:sz w:val="24"/>
      <w:lang w:val="en-US"/>
    </w:rPr>
  </w:style>
  <w:style w:type="paragraph" w:styleId="Heading2">
    <w:name w:val="heading 2"/>
    <w:basedOn w:val="Normal"/>
    <w:next w:val="Normal"/>
    <w:link w:val="Heading2Char"/>
    <w:uiPriority w:val="9"/>
    <w:unhideWhenUsed/>
    <w:qFormat/>
    <w:rsid w:val="00D47177"/>
    <w:pPr>
      <w:keepNext/>
      <w:keepLines/>
      <w:spacing w:after="100" w:afterAutospacing="1"/>
      <w:jc w:val="both"/>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177"/>
    <w:rPr>
      <w:rFonts w:eastAsiaTheme="majorEastAsia" w:cstheme="majorBidi"/>
      <w:i/>
      <w:szCs w:val="26"/>
    </w:rPr>
  </w:style>
  <w:style w:type="character" w:customStyle="1" w:styleId="Heading1Char">
    <w:name w:val="Heading 1 Char"/>
    <w:basedOn w:val="DefaultParagraphFont"/>
    <w:link w:val="Heading1"/>
    <w:uiPriority w:val="9"/>
    <w:rsid w:val="004D0B17"/>
    <w:rPr>
      <w:rFonts w:ascii="Calibri" w:eastAsiaTheme="majorEastAsia" w:hAnsi="Calibri" w:cstheme="majorBidi"/>
      <w:b/>
      <w:szCs w:val="22"/>
      <w:lang w:val="en-US"/>
    </w:rPr>
  </w:style>
  <w:style w:type="table" w:styleId="TableGrid">
    <w:name w:val="Table Grid"/>
    <w:basedOn w:val="TableNormal"/>
    <w:uiPriority w:val="39"/>
    <w:rsid w:val="0098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71AE"/>
    <w:rPr>
      <w:color w:val="0563C1" w:themeColor="hyperlink"/>
      <w:u w:val="single"/>
    </w:rPr>
  </w:style>
  <w:style w:type="character" w:styleId="UnresolvedMention">
    <w:name w:val="Unresolved Mention"/>
    <w:basedOn w:val="DefaultParagraphFont"/>
    <w:uiPriority w:val="99"/>
    <w:semiHidden/>
    <w:unhideWhenUsed/>
    <w:rsid w:val="00CB71AE"/>
    <w:rPr>
      <w:color w:val="605E5C"/>
      <w:shd w:val="clear" w:color="auto" w:fill="E1DFDD"/>
    </w:rPr>
  </w:style>
  <w:style w:type="paragraph" w:styleId="ListParagraph">
    <w:name w:val="List Paragraph"/>
    <w:basedOn w:val="Normal"/>
    <w:uiPriority w:val="34"/>
    <w:qFormat/>
    <w:rsid w:val="00CB71AE"/>
    <w:pPr>
      <w:ind w:left="720"/>
      <w:contextualSpacing/>
    </w:pPr>
  </w:style>
  <w:style w:type="character" w:styleId="CommentReference">
    <w:name w:val="annotation reference"/>
    <w:basedOn w:val="DefaultParagraphFont"/>
    <w:uiPriority w:val="99"/>
    <w:semiHidden/>
    <w:unhideWhenUsed/>
    <w:rsid w:val="00E77473"/>
    <w:rPr>
      <w:sz w:val="16"/>
      <w:szCs w:val="16"/>
    </w:rPr>
  </w:style>
  <w:style w:type="paragraph" w:styleId="CommentText">
    <w:name w:val="annotation text"/>
    <w:basedOn w:val="Normal"/>
    <w:link w:val="CommentTextChar"/>
    <w:uiPriority w:val="99"/>
    <w:semiHidden/>
    <w:unhideWhenUsed/>
    <w:rsid w:val="00E77473"/>
    <w:pPr>
      <w:spacing w:line="240" w:lineRule="auto"/>
    </w:pPr>
    <w:rPr>
      <w:sz w:val="20"/>
      <w:szCs w:val="20"/>
    </w:rPr>
  </w:style>
  <w:style w:type="character" w:customStyle="1" w:styleId="CommentTextChar">
    <w:name w:val="Comment Text Char"/>
    <w:basedOn w:val="DefaultParagraphFont"/>
    <w:link w:val="CommentText"/>
    <w:uiPriority w:val="99"/>
    <w:semiHidden/>
    <w:rsid w:val="00E77473"/>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E77473"/>
    <w:rPr>
      <w:b/>
      <w:bCs/>
    </w:rPr>
  </w:style>
  <w:style w:type="character" w:customStyle="1" w:styleId="CommentSubjectChar">
    <w:name w:val="Comment Subject Char"/>
    <w:basedOn w:val="CommentTextChar"/>
    <w:link w:val="CommentSubject"/>
    <w:uiPriority w:val="99"/>
    <w:semiHidden/>
    <w:rsid w:val="00E77473"/>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597">
      <w:bodyDiv w:val="1"/>
      <w:marLeft w:val="0"/>
      <w:marRight w:val="0"/>
      <w:marTop w:val="0"/>
      <w:marBottom w:val="0"/>
      <w:divBdr>
        <w:top w:val="none" w:sz="0" w:space="0" w:color="auto"/>
        <w:left w:val="none" w:sz="0" w:space="0" w:color="auto"/>
        <w:bottom w:val="none" w:sz="0" w:space="0" w:color="auto"/>
        <w:right w:val="none" w:sz="0" w:space="0" w:color="auto"/>
      </w:divBdr>
    </w:div>
    <w:div w:id="91358788">
      <w:bodyDiv w:val="1"/>
      <w:marLeft w:val="0"/>
      <w:marRight w:val="0"/>
      <w:marTop w:val="0"/>
      <w:marBottom w:val="0"/>
      <w:divBdr>
        <w:top w:val="none" w:sz="0" w:space="0" w:color="auto"/>
        <w:left w:val="none" w:sz="0" w:space="0" w:color="auto"/>
        <w:bottom w:val="none" w:sz="0" w:space="0" w:color="auto"/>
        <w:right w:val="none" w:sz="0" w:space="0" w:color="auto"/>
      </w:divBdr>
    </w:div>
    <w:div w:id="190071178">
      <w:bodyDiv w:val="1"/>
      <w:marLeft w:val="0"/>
      <w:marRight w:val="0"/>
      <w:marTop w:val="0"/>
      <w:marBottom w:val="0"/>
      <w:divBdr>
        <w:top w:val="none" w:sz="0" w:space="0" w:color="auto"/>
        <w:left w:val="none" w:sz="0" w:space="0" w:color="auto"/>
        <w:bottom w:val="none" w:sz="0" w:space="0" w:color="auto"/>
        <w:right w:val="none" w:sz="0" w:space="0" w:color="auto"/>
      </w:divBdr>
    </w:div>
    <w:div w:id="204222691">
      <w:bodyDiv w:val="1"/>
      <w:marLeft w:val="0"/>
      <w:marRight w:val="0"/>
      <w:marTop w:val="0"/>
      <w:marBottom w:val="0"/>
      <w:divBdr>
        <w:top w:val="none" w:sz="0" w:space="0" w:color="auto"/>
        <w:left w:val="none" w:sz="0" w:space="0" w:color="auto"/>
        <w:bottom w:val="none" w:sz="0" w:space="0" w:color="auto"/>
        <w:right w:val="none" w:sz="0" w:space="0" w:color="auto"/>
      </w:divBdr>
    </w:div>
    <w:div w:id="372652025">
      <w:bodyDiv w:val="1"/>
      <w:marLeft w:val="0"/>
      <w:marRight w:val="0"/>
      <w:marTop w:val="0"/>
      <w:marBottom w:val="0"/>
      <w:divBdr>
        <w:top w:val="none" w:sz="0" w:space="0" w:color="auto"/>
        <w:left w:val="none" w:sz="0" w:space="0" w:color="auto"/>
        <w:bottom w:val="none" w:sz="0" w:space="0" w:color="auto"/>
        <w:right w:val="none" w:sz="0" w:space="0" w:color="auto"/>
      </w:divBdr>
    </w:div>
    <w:div w:id="435322540">
      <w:bodyDiv w:val="1"/>
      <w:marLeft w:val="0"/>
      <w:marRight w:val="0"/>
      <w:marTop w:val="0"/>
      <w:marBottom w:val="0"/>
      <w:divBdr>
        <w:top w:val="none" w:sz="0" w:space="0" w:color="auto"/>
        <w:left w:val="none" w:sz="0" w:space="0" w:color="auto"/>
        <w:bottom w:val="none" w:sz="0" w:space="0" w:color="auto"/>
        <w:right w:val="none" w:sz="0" w:space="0" w:color="auto"/>
      </w:divBdr>
    </w:div>
    <w:div w:id="481581486">
      <w:bodyDiv w:val="1"/>
      <w:marLeft w:val="0"/>
      <w:marRight w:val="0"/>
      <w:marTop w:val="0"/>
      <w:marBottom w:val="0"/>
      <w:divBdr>
        <w:top w:val="none" w:sz="0" w:space="0" w:color="auto"/>
        <w:left w:val="none" w:sz="0" w:space="0" w:color="auto"/>
        <w:bottom w:val="none" w:sz="0" w:space="0" w:color="auto"/>
        <w:right w:val="none" w:sz="0" w:space="0" w:color="auto"/>
      </w:divBdr>
    </w:div>
    <w:div w:id="736049881">
      <w:bodyDiv w:val="1"/>
      <w:marLeft w:val="0"/>
      <w:marRight w:val="0"/>
      <w:marTop w:val="0"/>
      <w:marBottom w:val="0"/>
      <w:divBdr>
        <w:top w:val="none" w:sz="0" w:space="0" w:color="auto"/>
        <w:left w:val="none" w:sz="0" w:space="0" w:color="auto"/>
        <w:bottom w:val="none" w:sz="0" w:space="0" w:color="auto"/>
        <w:right w:val="none" w:sz="0" w:space="0" w:color="auto"/>
      </w:divBdr>
    </w:div>
    <w:div w:id="809908050">
      <w:bodyDiv w:val="1"/>
      <w:marLeft w:val="0"/>
      <w:marRight w:val="0"/>
      <w:marTop w:val="0"/>
      <w:marBottom w:val="0"/>
      <w:divBdr>
        <w:top w:val="none" w:sz="0" w:space="0" w:color="auto"/>
        <w:left w:val="none" w:sz="0" w:space="0" w:color="auto"/>
        <w:bottom w:val="none" w:sz="0" w:space="0" w:color="auto"/>
        <w:right w:val="none" w:sz="0" w:space="0" w:color="auto"/>
      </w:divBdr>
    </w:div>
    <w:div w:id="823426644">
      <w:bodyDiv w:val="1"/>
      <w:marLeft w:val="0"/>
      <w:marRight w:val="0"/>
      <w:marTop w:val="0"/>
      <w:marBottom w:val="0"/>
      <w:divBdr>
        <w:top w:val="none" w:sz="0" w:space="0" w:color="auto"/>
        <w:left w:val="none" w:sz="0" w:space="0" w:color="auto"/>
        <w:bottom w:val="none" w:sz="0" w:space="0" w:color="auto"/>
        <w:right w:val="none" w:sz="0" w:space="0" w:color="auto"/>
      </w:divBdr>
    </w:div>
    <w:div w:id="895244470">
      <w:bodyDiv w:val="1"/>
      <w:marLeft w:val="0"/>
      <w:marRight w:val="0"/>
      <w:marTop w:val="0"/>
      <w:marBottom w:val="0"/>
      <w:divBdr>
        <w:top w:val="none" w:sz="0" w:space="0" w:color="auto"/>
        <w:left w:val="none" w:sz="0" w:space="0" w:color="auto"/>
        <w:bottom w:val="none" w:sz="0" w:space="0" w:color="auto"/>
        <w:right w:val="none" w:sz="0" w:space="0" w:color="auto"/>
      </w:divBdr>
    </w:div>
    <w:div w:id="899444473">
      <w:bodyDiv w:val="1"/>
      <w:marLeft w:val="0"/>
      <w:marRight w:val="0"/>
      <w:marTop w:val="0"/>
      <w:marBottom w:val="0"/>
      <w:divBdr>
        <w:top w:val="none" w:sz="0" w:space="0" w:color="auto"/>
        <w:left w:val="none" w:sz="0" w:space="0" w:color="auto"/>
        <w:bottom w:val="none" w:sz="0" w:space="0" w:color="auto"/>
        <w:right w:val="none" w:sz="0" w:space="0" w:color="auto"/>
      </w:divBdr>
    </w:div>
    <w:div w:id="1085301128">
      <w:bodyDiv w:val="1"/>
      <w:marLeft w:val="0"/>
      <w:marRight w:val="0"/>
      <w:marTop w:val="0"/>
      <w:marBottom w:val="0"/>
      <w:divBdr>
        <w:top w:val="none" w:sz="0" w:space="0" w:color="auto"/>
        <w:left w:val="none" w:sz="0" w:space="0" w:color="auto"/>
        <w:bottom w:val="none" w:sz="0" w:space="0" w:color="auto"/>
        <w:right w:val="none" w:sz="0" w:space="0" w:color="auto"/>
      </w:divBdr>
    </w:div>
    <w:div w:id="1104226339">
      <w:bodyDiv w:val="1"/>
      <w:marLeft w:val="0"/>
      <w:marRight w:val="0"/>
      <w:marTop w:val="0"/>
      <w:marBottom w:val="0"/>
      <w:divBdr>
        <w:top w:val="none" w:sz="0" w:space="0" w:color="auto"/>
        <w:left w:val="none" w:sz="0" w:space="0" w:color="auto"/>
        <w:bottom w:val="none" w:sz="0" w:space="0" w:color="auto"/>
        <w:right w:val="none" w:sz="0" w:space="0" w:color="auto"/>
      </w:divBdr>
    </w:div>
    <w:div w:id="1190215886">
      <w:bodyDiv w:val="1"/>
      <w:marLeft w:val="0"/>
      <w:marRight w:val="0"/>
      <w:marTop w:val="0"/>
      <w:marBottom w:val="0"/>
      <w:divBdr>
        <w:top w:val="none" w:sz="0" w:space="0" w:color="auto"/>
        <w:left w:val="none" w:sz="0" w:space="0" w:color="auto"/>
        <w:bottom w:val="none" w:sz="0" w:space="0" w:color="auto"/>
        <w:right w:val="none" w:sz="0" w:space="0" w:color="auto"/>
      </w:divBdr>
    </w:div>
    <w:div w:id="1212494225">
      <w:bodyDiv w:val="1"/>
      <w:marLeft w:val="0"/>
      <w:marRight w:val="0"/>
      <w:marTop w:val="0"/>
      <w:marBottom w:val="0"/>
      <w:divBdr>
        <w:top w:val="none" w:sz="0" w:space="0" w:color="auto"/>
        <w:left w:val="none" w:sz="0" w:space="0" w:color="auto"/>
        <w:bottom w:val="none" w:sz="0" w:space="0" w:color="auto"/>
        <w:right w:val="none" w:sz="0" w:space="0" w:color="auto"/>
      </w:divBdr>
    </w:div>
    <w:div w:id="1264344115">
      <w:bodyDiv w:val="1"/>
      <w:marLeft w:val="0"/>
      <w:marRight w:val="0"/>
      <w:marTop w:val="0"/>
      <w:marBottom w:val="0"/>
      <w:divBdr>
        <w:top w:val="none" w:sz="0" w:space="0" w:color="auto"/>
        <w:left w:val="none" w:sz="0" w:space="0" w:color="auto"/>
        <w:bottom w:val="none" w:sz="0" w:space="0" w:color="auto"/>
        <w:right w:val="none" w:sz="0" w:space="0" w:color="auto"/>
      </w:divBdr>
    </w:div>
    <w:div w:id="1358920540">
      <w:bodyDiv w:val="1"/>
      <w:marLeft w:val="0"/>
      <w:marRight w:val="0"/>
      <w:marTop w:val="0"/>
      <w:marBottom w:val="0"/>
      <w:divBdr>
        <w:top w:val="none" w:sz="0" w:space="0" w:color="auto"/>
        <w:left w:val="none" w:sz="0" w:space="0" w:color="auto"/>
        <w:bottom w:val="none" w:sz="0" w:space="0" w:color="auto"/>
        <w:right w:val="none" w:sz="0" w:space="0" w:color="auto"/>
      </w:divBdr>
    </w:div>
    <w:div w:id="1508056258">
      <w:bodyDiv w:val="1"/>
      <w:marLeft w:val="0"/>
      <w:marRight w:val="0"/>
      <w:marTop w:val="0"/>
      <w:marBottom w:val="0"/>
      <w:divBdr>
        <w:top w:val="none" w:sz="0" w:space="0" w:color="auto"/>
        <w:left w:val="none" w:sz="0" w:space="0" w:color="auto"/>
        <w:bottom w:val="none" w:sz="0" w:space="0" w:color="auto"/>
        <w:right w:val="none" w:sz="0" w:space="0" w:color="auto"/>
      </w:divBdr>
    </w:div>
    <w:div w:id="1572079878">
      <w:bodyDiv w:val="1"/>
      <w:marLeft w:val="0"/>
      <w:marRight w:val="0"/>
      <w:marTop w:val="0"/>
      <w:marBottom w:val="0"/>
      <w:divBdr>
        <w:top w:val="none" w:sz="0" w:space="0" w:color="auto"/>
        <w:left w:val="none" w:sz="0" w:space="0" w:color="auto"/>
        <w:bottom w:val="none" w:sz="0" w:space="0" w:color="auto"/>
        <w:right w:val="none" w:sz="0" w:space="0" w:color="auto"/>
      </w:divBdr>
    </w:div>
    <w:div w:id="1604679953">
      <w:bodyDiv w:val="1"/>
      <w:marLeft w:val="0"/>
      <w:marRight w:val="0"/>
      <w:marTop w:val="0"/>
      <w:marBottom w:val="0"/>
      <w:divBdr>
        <w:top w:val="none" w:sz="0" w:space="0" w:color="auto"/>
        <w:left w:val="none" w:sz="0" w:space="0" w:color="auto"/>
        <w:bottom w:val="none" w:sz="0" w:space="0" w:color="auto"/>
        <w:right w:val="none" w:sz="0" w:space="0" w:color="auto"/>
      </w:divBdr>
    </w:div>
    <w:div w:id="1630668929">
      <w:bodyDiv w:val="1"/>
      <w:marLeft w:val="0"/>
      <w:marRight w:val="0"/>
      <w:marTop w:val="0"/>
      <w:marBottom w:val="0"/>
      <w:divBdr>
        <w:top w:val="none" w:sz="0" w:space="0" w:color="auto"/>
        <w:left w:val="none" w:sz="0" w:space="0" w:color="auto"/>
        <w:bottom w:val="none" w:sz="0" w:space="0" w:color="auto"/>
        <w:right w:val="none" w:sz="0" w:space="0" w:color="auto"/>
      </w:divBdr>
    </w:div>
    <w:div w:id="1657803194">
      <w:bodyDiv w:val="1"/>
      <w:marLeft w:val="0"/>
      <w:marRight w:val="0"/>
      <w:marTop w:val="0"/>
      <w:marBottom w:val="0"/>
      <w:divBdr>
        <w:top w:val="none" w:sz="0" w:space="0" w:color="auto"/>
        <w:left w:val="none" w:sz="0" w:space="0" w:color="auto"/>
        <w:bottom w:val="none" w:sz="0" w:space="0" w:color="auto"/>
        <w:right w:val="none" w:sz="0" w:space="0" w:color="auto"/>
      </w:divBdr>
    </w:div>
    <w:div w:id="1689024977">
      <w:bodyDiv w:val="1"/>
      <w:marLeft w:val="0"/>
      <w:marRight w:val="0"/>
      <w:marTop w:val="0"/>
      <w:marBottom w:val="0"/>
      <w:divBdr>
        <w:top w:val="none" w:sz="0" w:space="0" w:color="auto"/>
        <w:left w:val="none" w:sz="0" w:space="0" w:color="auto"/>
        <w:bottom w:val="none" w:sz="0" w:space="0" w:color="auto"/>
        <w:right w:val="none" w:sz="0" w:space="0" w:color="auto"/>
      </w:divBdr>
    </w:div>
    <w:div w:id="1712463685">
      <w:bodyDiv w:val="1"/>
      <w:marLeft w:val="0"/>
      <w:marRight w:val="0"/>
      <w:marTop w:val="0"/>
      <w:marBottom w:val="0"/>
      <w:divBdr>
        <w:top w:val="none" w:sz="0" w:space="0" w:color="auto"/>
        <w:left w:val="none" w:sz="0" w:space="0" w:color="auto"/>
        <w:bottom w:val="none" w:sz="0" w:space="0" w:color="auto"/>
        <w:right w:val="none" w:sz="0" w:space="0" w:color="auto"/>
      </w:divBdr>
    </w:div>
    <w:div w:id="1718893710">
      <w:bodyDiv w:val="1"/>
      <w:marLeft w:val="0"/>
      <w:marRight w:val="0"/>
      <w:marTop w:val="0"/>
      <w:marBottom w:val="0"/>
      <w:divBdr>
        <w:top w:val="none" w:sz="0" w:space="0" w:color="auto"/>
        <w:left w:val="none" w:sz="0" w:space="0" w:color="auto"/>
        <w:bottom w:val="none" w:sz="0" w:space="0" w:color="auto"/>
        <w:right w:val="none" w:sz="0" w:space="0" w:color="auto"/>
      </w:divBdr>
    </w:div>
    <w:div w:id="1764260667">
      <w:bodyDiv w:val="1"/>
      <w:marLeft w:val="0"/>
      <w:marRight w:val="0"/>
      <w:marTop w:val="0"/>
      <w:marBottom w:val="0"/>
      <w:divBdr>
        <w:top w:val="none" w:sz="0" w:space="0" w:color="auto"/>
        <w:left w:val="none" w:sz="0" w:space="0" w:color="auto"/>
        <w:bottom w:val="none" w:sz="0" w:space="0" w:color="auto"/>
        <w:right w:val="none" w:sz="0" w:space="0" w:color="auto"/>
      </w:divBdr>
    </w:div>
    <w:div w:id="1962027029">
      <w:bodyDiv w:val="1"/>
      <w:marLeft w:val="0"/>
      <w:marRight w:val="0"/>
      <w:marTop w:val="0"/>
      <w:marBottom w:val="0"/>
      <w:divBdr>
        <w:top w:val="none" w:sz="0" w:space="0" w:color="auto"/>
        <w:left w:val="none" w:sz="0" w:space="0" w:color="auto"/>
        <w:bottom w:val="none" w:sz="0" w:space="0" w:color="auto"/>
        <w:right w:val="none" w:sz="0" w:space="0" w:color="auto"/>
      </w:divBdr>
    </w:div>
    <w:div w:id="19784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ran@suma.kobe-w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iasri.hi@upnjatim.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asri.hi@upnjatim.ac.id" TargetMode="External"/><Relationship Id="rId11" Type="http://schemas.openxmlformats.org/officeDocument/2006/relationships/hyperlink" Target="mailto:leslie.liwanag@dlsu.edu.ph" TargetMode="External"/><Relationship Id="rId5" Type="http://schemas.openxmlformats.org/officeDocument/2006/relationships/webSettings" Target="webSettings.xml"/><Relationship Id="rId10" Type="http://schemas.openxmlformats.org/officeDocument/2006/relationships/hyperlink" Target="mailto:deborrah.anastacio@dlsu.edu.ph" TargetMode="External"/><Relationship Id="rId4" Type="http://schemas.openxmlformats.org/officeDocument/2006/relationships/settings" Target="settings.xml"/><Relationship Id="rId9" Type="http://schemas.openxmlformats.org/officeDocument/2006/relationships/hyperlink" Target="mailto:numtip.sm@up.ac.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Kau12</b:Tag>
    <b:SourceType>JournalArticle</b:SourceType>
    <b:Guid>{6E01B5E4-1EE7-0F4F-9D49-242A9A494A46}</b:Guid>
    <b:Author>
      <b:Author>
        <b:NameList>
          <b:Person>
            <b:Last>Kauppinen</b:Last>
            <b:First>Ilkka</b:First>
          </b:Person>
        </b:NameList>
      </b:Author>
    </b:Author>
    <b:Title>Towards Transnational Academic Capitalism</b:Title>
    <b:JournalName>Higher Education, 64</b:JournalName>
    <b:Year>2012</b:Year>
    <b:Pages>543-556</b:Pages>
    <b:RefOrder>3</b:RefOrder>
  </b:Source>
  <b:Source>
    <b:Tag>Hac14</b:Tag>
    <b:SourceType>JournalArticle</b:SourceType>
    <b:Guid>{DFE6C03A-368D-924F-B160-4264103D7ADF}</b:Guid>
    <b:Author>
      <b:Author>
        <b:NameList>
          <b:Person>
            <b:Last>Hackett</b:Last>
            <b:First>Edward</b:First>
            <b:Middle>J.</b:Middle>
          </b:Person>
        </b:NameList>
      </b:Author>
    </b:Author>
    <b:Title>Academic Capitalism</b:Title>
    <b:JournalName>Science, Technology, &amp; Human Values</b:JournalName>
    <b:Year>2014</b:Year>
    <b:Pages>1-4</b:Pages>
    <b:RefOrder>6</b:RefOrder>
  </b:Source>
  <b:Source>
    <b:Tag>Jes18</b:Tag>
    <b:SourceType>JournalArticle</b:SourceType>
    <b:Guid>{C795EFE2-6D88-AB4F-8982-C639C92A1717}</b:Guid>
    <b:Author>
      <b:Author>
        <b:NameList>
          <b:Person>
            <b:Last>Jessop</b:Last>
            <b:First>Bob</b:First>
          </b:Person>
        </b:NameList>
      </b:Author>
    </b:Author>
    <b:Title>On academic capitalism</b:Title>
    <b:JournalName>Critical Policy Studies, 12:1</b:JournalName>
    <b:Year>2018</b:Year>
    <b:Pages>104-109</b:Pages>
    <b:RefOrder>2</b:RefOrder>
  </b:Source>
  <b:Source>
    <b:Tag>Xin16</b:Tag>
    <b:SourceType>Book</b:SourceType>
    <b:Guid>{E9A1CDF7-949F-A94B-AD08-F279CAF01549}</b:Guid>
    <b:Title>Indigenous Culture, Education and Globalization: Critical Perspectives from Asia</b:Title>
    <b:City>Berlin</b:City>
    <b:Publisher>Springer-Verlag</b:Publisher>
    <b:Year>2016</b:Year>
    <b:Author>
      <b:Author>
        <b:NameList>
          <b:Person>
            <b:Last>Xing</b:Last>
            <b:First>Jun</b:First>
          </b:Person>
          <b:Person>
            <b:Last>Ng</b:Last>
            <b:First>Pak-sheung</b:First>
          </b:Person>
        </b:NameList>
      </b:Author>
    </b:Author>
    <b:RefOrder>4</b:RefOrder>
  </b:Source>
  <b:Source>
    <b:Tag>Moa07</b:Tag>
    <b:SourceType>JournalArticle</b:SourceType>
    <b:Guid>{652F899A-676C-8D4D-8A2B-4EFBB8AE8EE3}</b:Guid>
    <b:Title>Globalization, Knowledge Economy and the implication for Indigenous Knowledge</b:Title>
    <b:Year>2007</b:Year>
    <b:Author>
      <b:Author>
        <b:NameList>
          <b:Person>
            <b:Last>Moahi</b:Last>
            <b:First>Kgomotso</b:First>
            <b:Middle>H.</b:Middle>
          </b:Person>
        </b:NameList>
      </b:Author>
    </b:Author>
    <b:JournalName>International Review of Information Ethics, 09</b:JournalName>
    <b:Pages>55-61</b:Pages>
    <b:RefOrder>1</b:RefOrder>
  </b:Source>
  <b:Source>
    <b:Tag>Var08</b:Tag>
    <b:SourceType>Report</b:SourceType>
    <b:Guid>{C7417C5C-8D00-7E44-8A2A-8DF0E95808DA}</b:Guid>
    <b:Title>Globalization of Higher Education and Cross-Border Student Mobility</b:Title>
    <b:Year>2008</b:Year>
    <b:Author>
      <b:Author>
        <b:NameList>
          <b:Person>
            <b:Last>Varghese</b:Last>
            <b:First>N.V.</b:First>
          </b:Person>
        </b:NameList>
      </b:Author>
    </b:Author>
    <b:Publisher>UNESCO &amp; IIEP</b:Publisher>
    <b:City>Paris</b:City>
    <b:RefOrder>5</b:RefOrder>
  </b:Source>
</b:Sources>
</file>

<file path=customXml/itemProps1.xml><?xml version="1.0" encoding="utf-8"?>
<ds:datastoreItem xmlns:ds="http://schemas.openxmlformats.org/officeDocument/2006/customXml" ds:itemID="{DD372B2F-0306-2449-A82E-1DB08C40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dc:description/>
  <cp:lastModifiedBy>Siegers, S.R. (Yayah)</cp:lastModifiedBy>
  <cp:revision>2</cp:revision>
  <cp:lastPrinted>2023-12-18T03:44:00Z</cp:lastPrinted>
  <dcterms:created xsi:type="dcterms:W3CDTF">2024-01-17T13:59:00Z</dcterms:created>
  <dcterms:modified xsi:type="dcterms:W3CDTF">2024-01-17T13:59:00Z</dcterms:modified>
</cp:coreProperties>
</file>