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7F96" w14:textId="77777777" w:rsidR="00E229F7" w:rsidRPr="00E229F7" w:rsidRDefault="00E229F7" w:rsidP="007251DE">
      <w:pPr>
        <w:jc w:val="both"/>
        <w:rPr>
          <w:sz w:val="22"/>
          <w:szCs w:val="22"/>
        </w:rPr>
      </w:pPr>
      <w:r w:rsidRPr="00E229F7">
        <w:rPr>
          <w:sz w:val="22"/>
          <w:szCs w:val="22"/>
        </w:rPr>
        <w:t xml:space="preserve">Title: </w:t>
      </w:r>
      <w:r w:rsidR="004F13B9" w:rsidRPr="00E229F7">
        <w:rPr>
          <w:sz w:val="22"/>
          <w:szCs w:val="22"/>
        </w:rPr>
        <w:t xml:space="preserve"> </w:t>
      </w:r>
    </w:p>
    <w:p w14:paraId="24CE769D" w14:textId="77777777" w:rsidR="00E229F7" w:rsidRPr="00E229F7" w:rsidRDefault="00E229F7" w:rsidP="007251DE">
      <w:pPr>
        <w:jc w:val="both"/>
        <w:rPr>
          <w:sz w:val="22"/>
          <w:szCs w:val="22"/>
        </w:rPr>
      </w:pPr>
    </w:p>
    <w:p w14:paraId="5E1D50F8" w14:textId="08EA6FC4" w:rsidR="004F13B9" w:rsidRPr="00927FC7" w:rsidRDefault="004F13B9" w:rsidP="007251DE">
      <w:pPr>
        <w:jc w:val="both"/>
        <w:rPr>
          <w:b/>
          <w:bCs/>
          <w:sz w:val="22"/>
          <w:szCs w:val="22"/>
        </w:rPr>
      </w:pPr>
      <w:r w:rsidRPr="00927FC7">
        <w:rPr>
          <w:b/>
          <w:bCs/>
          <w:sz w:val="22"/>
          <w:szCs w:val="22"/>
        </w:rPr>
        <w:t xml:space="preserve">"Exploring </w:t>
      </w:r>
      <w:proofErr w:type="spellStart"/>
      <w:r w:rsidRPr="00927FC7">
        <w:rPr>
          <w:b/>
          <w:bCs/>
          <w:sz w:val="22"/>
          <w:szCs w:val="22"/>
        </w:rPr>
        <w:t>Nonreligiosity</w:t>
      </w:r>
      <w:proofErr w:type="spellEnd"/>
      <w:r w:rsidRPr="00927FC7">
        <w:rPr>
          <w:b/>
          <w:bCs/>
          <w:sz w:val="22"/>
          <w:szCs w:val="22"/>
        </w:rPr>
        <w:t>, Atheism, and Secularism in Southeast Asia"</w:t>
      </w:r>
    </w:p>
    <w:p w14:paraId="1A1B6CD9" w14:textId="37A6EFF2" w:rsidR="004F13B9" w:rsidRDefault="004F13B9" w:rsidP="007251DE">
      <w:pPr>
        <w:jc w:val="both"/>
        <w:rPr>
          <w:b/>
          <w:bCs/>
          <w:sz w:val="22"/>
          <w:szCs w:val="22"/>
        </w:rPr>
      </w:pPr>
    </w:p>
    <w:p w14:paraId="1A4FF926" w14:textId="77777777" w:rsidR="00E229F7" w:rsidRDefault="00E229F7" w:rsidP="007251DE">
      <w:pPr>
        <w:jc w:val="both"/>
        <w:rPr>
          <w:b/>
          <w:bCs/>
          <w:sz w:val="22"/>
          <w:szCs w:val="22"/>
        </w:rPr>
      </w:pPr>
    </w:p>
    <w:p w14:paraId="7BCA6607" w14:textId="1FA938A8" w:rsidR="00E229F7" w:rsidRDefault="00E229F7" w:rsidP="007251DE">
      <w:pPr>
        <w:jc w:val="both"/>
        <w:rPr>
          <w:sz w:val="22"/>
          <w:szCs w:val="22"/>
        </w:rPr>
      </w:pPr>
      <w:r w:rsidRPr="00E229F7">
        <w:rPr>
          <w:sz w:val="22"/>
          <w:szCs w:val="22"/>
        </w:rPr>
        <w:t xml:space="preserve">Conveners: </w:t>
      </w:r>
    </w:p>
    <w:p w14:paraId="39EF53C8" w14:textId="77777777" w:rsidR="00E229F7" w:rsidRDefault="00E229F7" w:rsidP="007251DE">
      <w:pPr>
        <w:jc w:val="both"/>
        <w:rPr>
          <w:sz w:val="22"/>
          <w:szCs w:val="22"/>
        </w:rPr>
      </w:pPr>
    </w:p>
    <w:p w14:paraId="0519755B" w14:textId="124F0047" w:rsidR="004F13B9" w:rsidRPr="00E229F7" w:rsidRDefault="004F13B9" w:rsidP="007251DE">
      <w:pPr>
        <w:jc w:val="both"/>
        <w:rPr>
          <w:sz w:val="22"/>
          <w:szCs w:val="22"/>
        </w:rPr>
      </w:pPr>
      <w:r w:rsidRPr="00E229F7">
        <w:rPr>
          <w:sz w:val="22"/>
          <w:szCs w:val="22"/>
        </w:rPr>
        <w:t xml:space="preserve">Timo Duile and Prince </w:t>
      </w:r>
      <w:proofErr w:type="spellStart"/>
      <w:r w:rsidRPr="00E229F7">
        <w:rPr>
          <w:sz w:val="22"/>
          <w:szCs w:val="22"/>
        </w:rPr>
        <w:t>Kennex</w:t>
      </w:r>
      <w:proofErr w:type="spellEnd"/>
      <w:r w:rsidRPr="00E229F7">
        <w:rPr>
          <w:sz w:val="22"/>
          <w:szCs w:val="22"/>
        </w:rPr>
        <w:t xml:space="preserve"> Aldama</w:t>
      </w:r>
    </w:p>
    <w:p w14:paraId="45C2792F" w14:textId="5EF0FF1C" w:rsidR="004F13B9" w:rsidRPr="00E229F7" w:rsidRDefault="004F13B9" w:rsidP="007251DE">
      <w:pPr>
        <w:jc w:val="both"/>
        <w:rPr>
          <w:sz w:val="22"/>
          <w:szCs w:val="22"/>
        </w:rPr>
      </w:pPr>
      <w:r w:rsidRPr="00E229F7">
        <w:rPr>
          <w:sz w:val="22"/>
          <w:szCs w:val="22"/>
        </w:rPr>
        <w:t>Department for Southeast Asian Studies, Bonn University</w:t>
      </w:r>
    </w:p>
    <w:p w14:paraId="31ADE00C" w14:textId="5E77CA22" w:rsidR="004F13B9" w:rsidRDefault="004F13B9" w:rsidP="007251DE">
      <w:pPr>
        <w:jc w:val="both"/>
        <w:rPr>
          <w:sz w:val="22"/>
          <w:szCs w:val="22"/>
        </w:rPr>
      </w:pPr>
    </w:p>
    <w:p w14:paraId="06BB3AC1" w14:textId="7FB9CFCA" w:rsidR="004F13B9" w:rsidRDefault="00000000" w:rsidP="007251DE">
      <w:pPr>
        <w:jc w:val="both"/>
        <w:rPr>
          <w:sz w:val="22"/>
          <w:szCs w:val="22"/>
        </w:rPr>
      </w:pPr>
      <w:hyperlink r:id="rId7" w:history="1">
        <w:r w:rsidR="004F13B9" w:rsidRPr="005423CE">
          <w:rPr>
            <w:rStyle w:val="Hyperlink"/>
            <w:sz w:val="22"/>
            <w:szCs w:val="22"/>
          </w:rPr>
          <w:t>tduile@uni-bonn.de</w:t>
        </w:r>
      </w:hyperlink>
      <w:r w:rsidR="004F13B9">
        <w:rPr>
          <w:sz w:val="22"/>
          <w:szCs w:val="22"/>
        </w:rPr>
        <w:t xml:space="preserve"> </w:t>
      </w:r>
    </w:p>
    <w:p w14:paraId="349268F2" w14:textId="7603A35F" w:rsidR="004F13B9" w:rsidRDefault="00000000" w:rsidP="007251DE">
      <w:pPr>
        <w:jc w:val="both"/>
        <w:rPr>
          <w:sz w:val="22"/>
          <w:szCs w:val="22"/>
        </w:rPr>
      </w:pPr>
      <w:hyperlink r:id="rId8" w:history="1">
        <w:r w:rsidR="004F13B9" w:rsidRPr="005423CE">
          <w:rPr>
            <w:rStyle w:val="Hyperlink"/>
            <w:sz w:val="22"/>
            <w:szCs w:val="22"/>
          </w:rPr>
          <w:t>praldama@up.edu.pg</w:t>
        </w:r>
      </w:hyperlink>
    </w:p>
    <w:p w14:paraId="2FD0C655" w14:textId="21CD1B48" w:rsidR="004F13B9" w:rsidRDefault="004F13B9" w:rsidP="007251DE">
      <w:pPr>
        <w:jc w:val="both"/>
        <w:rPr>
          <w:sz w:val="22"/>
          <w:szCs w:val="22"/>
        </w:rPr>
      </w:pPr>
    </w:p>
    <w:p w14:paraId="549C6103" w14:textId="77777777" w:rsidR="001867EB" w:rsidRDefault="001867EB" w:rsidP="007251DE">
      <w:pPr>
        <w:jc w:val="both"/>
        <w:rPr>
          <w:sz w:val="22"/>
          <w:szCs w:val="22"/>
        </w:rPr>
      </w:pPr>
    </w:p>
    <w:p w14:paraId="77A8FFA3" w14:textId="414536E6" w:rsidR="00E229F7" w:rsidRDefault="001867EB" w:rsidP="007251DE">
      <w:pPr>
        <w:jc w:val="both"/>
        <w:rPr>
          <w:sz w:val="22"/>
          <w:szCs w:val="22"/>
        </w:rPr>
      </w:pPr>
      <w:r>
        <w:rPr>
          <w:sz w:val="22"/>
          <w:szCs w:val="22"/>
        </w:rPr>
        <w:t>Description of the format:</w:t>
      </w:r>
    </w:p>
    <w:p w14:paraId="1757E3DC" w14:textId="77777777" w:rsidR="001867EB" w:rsidRDefault="001867EB" w:rsidP="007251DE">
      <w:pPr>
        <w:jc w:val="both"/>
        <w:rPr>
          <w:sz w:val="22"/>
          <w:szCs w:val="22"/>
        </w:rPr>
      </w:pPr>
    </w:p>
    <w:p w14:paraId="4CF61317" w14:textId="11945821" w:rsidR="001867EB" w:rsidRDefault="001867EB" w:rsidP="007251DE">
      <w:pPr>
        <w:jc w:val="both"/>
        <w:rPr>
          <w:sz w:val="22"/>
          <w:szCs w:val="22"/>
        </w:rPr>
      </w:pPr>
      <w:r>
        <w:rPr>
          <w:sz w:val="22"/>
          <w:szCs w:val="22"/>
        </w:rPr>
        <w:t>Each panelist has up to 10 minutes for her/his presentation, followed by a short Q&amp;A. At the end of the panel, we would like to dedicate at least 15 minutes for a summarizing discussion.</w:t>
      </w:r>
    </w:p>
    <w:p w14:paraId="42462C63" w14:textId="0E42915A" w:rsidR="00E229F7" w:rsidRDefault="00E229F7" w:rsidP="007251DE">
      <w:pPr>
        <w:jc w:val="both"/>
        <w:rPr>
          <w:sz w:val="22"/>
          <w:szCs w:val="22"/>
        </w:rPr>
      </w:pPr>
    </w:p>
    <w:p w14:paraId="2ACED455" w14:textId="77777777" w:rsidR="001867EB" w:rsidRDefault="001867EB" w:rsidP="007251DE">
      <w:pPr>
        <w:jc w:val="both"/>
        <w:rPr>
          <w:sz w:val="22"/>
          <w:szCs w:val="22"/>
        </w:rPr>
      </w:pPr>
    </w:p>
    <w:p w14:paraId="6262BBF3" w14:textId="6E7C7525" w:rsidR="004F13B9" w:rsidRDefault="00E229F7" w:rsidP="007251DE">
      <w:pPr>
        <w:jc w:val="both"/>
        <w:rPr>
          <w:sz w:val="22"/>
          <w:szCs w:val="22"/>
        </w:rPr>
      </w:pPr>
      <w:r>
        <w:rPr>
          <w:sz w:val="22"/>
          <w:szCs w:val="22"/>
        </w:rPr>
        <w:t xml:space="preserve">Description of the panel: </w:t>
      </w:r>
    </w:p>
    <w:p w14:paraId="0A2D98E3" w14:textId="77777777" w:rsidR="00E229F7" w:rsidRDefault="00E229F7" w:rsidP="007251DE">
      <w:pPr>
        <w:jc w:val="both"/>
        <w:rPr>
          <w:sz w:val="22"/>
          <w:szCs w:val="22"/>
        </w:rPr>
      </w:pPr>
    </w:p>
    <w:p w14:paraId="16332099" w14:textId="1F9FD281" w:rsidR="00090553" w:rsidRPr="007251DE" w:rsidRDefault="00090553" w:rsidP="007251DE">
      <w:pPr>
        <w:jc w:val="both"/>
        <w:rPr>
          <w:sz w:val="22"/>
          <w:szCs w:val="22"/>
        </w:rPr>
      </w:pPr>
      <w:r w:rsidRPr="007251DE">
        <w:rPr>
          <w:sz w:val="22"/>
          <w:szCs w:val="22"/>
        </w:rPr>
        <w:t>Our panel</w:t>
      </w:r>
      <w:r w:rsidR="004F13B9">
        <w:rPr>
          <w:sz w:val="22"/>
          <w:szCs w:val="22"/>
        </w:rPr>
        <w:t xml:space="preserve"> </w:t>
      </w:r>
      <w:r w:rsidRPr="007251DE">
        <w:rPr>
          <w:sz w:val="22"/>
          <w:szCs w:val="22"/>
        </w:rPr>
        <w:t xml:space="preserve">"Exploring </w:t>
      </w:r>
      <w:proofErr w:type="spellStart"/>
      <w:r w:rsidRPr="007251DE">
        <w:rPr>
          <w:sz w:val="22"/>
          <w:szCs w:val="22"/>
        </w:rPr>
        <w:t>Nonreligiosity</w:t>
      </w:r>
      <w:proofErr w:type="spellEnd"/>
      <w:r w:rsidRPr="007251DE">
        <w:rPr>
          <w:sz w:val="22"/>
          <w:szCs w:val="22"/>
        </w:rPr>
        <w:t>, Atheism, and Secularism in Southeast Asia" aims to foster interdisciplinary discussions on the evolving dynamics of nonbelief and secular identities within the region.</w:t>
      </w:r>
    </w:p>
    <w:p w14:paraId="0CA6CB92" w14:textId="2EA74861" w:rsidR="00090553" w:rsidRPr="007251DE" w:rsidRDefault="00090553" w:rsidP="007251DE">
      <w:pPr>
        <w:jc w:val="both"/>
        <w:rPr>
          <w:sz w:val="22"/>
          <w:szCs w:val="22"/>
        </w:rPr>
      </w:pPr>
      <w:r w:rsidRPr="007251DE">
        <w:rPr>
          <w:sz w:val="22"/>
          <w:szCs w:val="22"/>
        </w:rPr>
        <w:t>Southeast Asia, recognized for its strong religious traditions, is undergoing a transformative shift as individuals with diverse perspectives on religion challenge conventional norms. Atheists, religious nones, and secularists are carving out their place in these pluralistic societies, prompting intriguing questions about social cohesion, political implications, and indigenous vs. external influences.</w:t>
      </w:r>
      <w:r w:rsidR="004F13B9">
        <w:rPr>
          <w:sz w:val="22"/>
          <w:szCs w:val="22"/>
        </w:rPr>
        <w:t xml:space="preserve"> </w:t>
      </w:r>
      <w:r w:rsidRPr="007251DE">
        <w:rPr>
          <w:sz w:val="22"/>
          <w:szCs w:val="22"/>
        </w:rPr>
        <w:t>We believe that this emerging discourse holds the potential to enrich our understanding of Southeast Asian religiosity and societal diversity. As we delve into this uncharted territory, we seek contributions from scholars across disciplines such as cultural anthropology, sociology, law, political science, and theology.</w:t>
      </w:r>
    </w:p>
    <w:p w14:paraId="75DC510A" w14:textId="77777777" w:rsidR="00090553" w:rsidRPr="007251DE" w:rsidRDefault="00090553" w:rsidP="007251DE">
      <w:pPr>
        <w:jc w:val="both"/>
        <w:rPr>
          <w:sz w:val="22"/>
          <w:szCs w:val="22"/>
        </w:rPr>
      </w:pPr>
    </w:p>
    <w:p w14:paraId="201DE4E5" w14:textId="64F709BB" w:rsidR="00090553" w:rsidRPr="007251DE" w:rsidRDefault="00090553" w:rsidP="007251DE">
      <w:pPr>
        <w:jc w:val="both"/>
        <w:rPr>
          <w:sz w:val="22"/>
          <w:szCs w:val="22"/>
        </w:rPr>
      </w:pPr>
      <w:r w:rsidRPr="007251DE">
        <w:rPr>
          <w:sz w:val="22"/>
          <w:szCs w:val="22"/>
        </w:rPr>
        <w:t>Key inquiries that our panel aims to explore include, but are not limited to, the following topics:</w:t>
      </w:r>
    </w:p>
    <w:p w14:paraId="35E2ED33" w14:textId="77777777" w:rsidR="00090553" w:rsidRPr="007251DE" w:rsidRDefault="00090553" w:rsidP="007251DE">
      <w:pPr>
        <w:jc w:val="both"/>
        <w:rPr>
          <w:sz w:val="22"/>
          <w:szCs w:val="22"/>
        </w:rPr>
      </w:pPr>
    </w:p>
    <w:p w14:paraId="5DB2865B" w14:textId="33AAF586" w:rsidR="00090553" w:rsidRPr="007251DE" w:rsidRDefault="00090553" w:rsidP="007251DE">
      <w:pPr>
        <w:pStyle w:val="ListParagraph"/>
        <w:numPr>
          <w:ilvl w:val="0"/>
          <w:numId w:val="1"/>
        </w:numPr>
        <w:jc w:val="both"/>
        <w:rPr>
          <w:sz w:val="22"/>
          <w:szCs w:val="22"/>
        </w:rPr>
      </w:pPr>
      <w:r w:rsidRPr="007251DE">
        <w:rPr>
          <w:sz w:val="22"/>
          <w:szCs w:val="22"/>
        </w:rPr>
        <w:t>The negotiation of secular or atheist identities in religious contexts</w:t>
      </w:r>
    </w:p>
    <w:p w14:paraId="24D9402E" w14:textId="4099E182" w:rsidR="00090553" w:rsidRPr="007251DE" w:rsidRDefault="00090553" w:rsidP="007251DE">
      <w:pPr>
        <w:pStyle w:val="ListParagraph"/>
        <w:numPr>
          <w:ilvl w:val="0"/>
          <w:numId w:val="1"/>
        </w:numPr>
        <w:jc w:val="both"/>
        <w:rPr>
          <w:sz w:val="22"/>
          <w:szCs w:val="22"/>
        </w:rPr>
      </w:pPr>
      <w:r w:rsidRPr="007251DE">
        <w:rPr>
          <w:sz w:val="22"/>
          <w:szCs w:val="22"/>
        </w:rPr>
        <w:t>The historical roots and development of atheism and secularism in Southeast Asia</w:t>
      </w:r>
    </w:p>
    <w:p w14:paraId="3D7FE680" w14:textId="667A5F7F" w:rsidR="00090553" w:rsidRPr="007251DE" w:rsidRDefault="00090553" w:rsidP="007251DE">
      <w:pPr>
        <w:pStyle w:val="ListParagraph"/>
        <w:numPr>
          <w:ilvl w:val="0"/>
          <w:numId w:val="1"/>
        </w:numPr>
        <w:jc w:val="both"/>
        <w:rPr>
          <w:sz w:val="22"/>
          <w:szCs w:val="22"/>
        </w:rPr>
      </w:pPr>
      <w:r w:rsidRPr="007251DE">
        <w:rPr>
          <w:sz w:val="22"/>
          <w:szCs w:val="22"/>
        </w:rPr>
        <w:t>Government and societal responses to these concepts in discourse, legal frameworks, and political arenas</w:t>
      </w:r>
    </w:p>
    <w:p w14:paraId="6EBA8268" w14:textId="21020B5B" w:rsidR="00090553" w:rsidRPr="007251DE" w:rsidRDefault="00090553" w:rsidP="007251DE">
      <w:pPr>
        <w:pStyle w:val="ListParagraph"/>
        <w:numPr>
          <w:ilvl w:val="0"/>
          <w:numId w:val="1"/>
        </w:numPr>
        <w:jc w:val="both"/>
        <w:rPr>
          <w:sz w:val="22"/>
          <w:szCs w:val="22"/>
        </w:rPr>
      </w:pPr>
      <w:r w:rsidRPr="007251DE">
        <w:rPr>
          <w:sz w:val="22"/>
          <w:szCs w:val="22"/>
        </w:rPr>
        <w:t>The intersection of atheism and secularism with the region's intricate religious tapestry.</w:t>
      </w:r>
    </w:p>
    <w:p w14:paraId="46A12C1C" w14:textId="77777777" w:rsidR="00090553" w:rsidRPr="007251DE" w:rsidRDefault="00090553" w:rsidP="007251DE">
      <w:pPr>
        <w:pStyle w:val="ListParagraph"/>
        <w:numPr>
          <w:ilvl w:val="0"/>
          <w:numId w:val="1"/>
        </w:numPr>
        <w:jc w:val="both"/>
        <w:rPr>
          <w:sz w:val="22"/>
          <w:szCs w:val="22"/>
        </w:rPr>
      </w:pPr>
      <w:r w:rsidRPr="007251DE">
        <w:rPr>
          <w:sz w:val="22"/>
          <w:szCs w:val="22"/>
        </w:rPr>
        <w:t>Possibilities and challenges for integrating atheism within Southeast Asia's plural societies</w:t>
      </w:r>
    </w:p>
    <w:p w14:paraId="5011CB44" w14:textId="3D4215F2" w:rsidR="00090553" w:rsidRPr="007251DE" w:rsidRDefault="00090553" w:rsidP="007251DE">
      <w:pPr>
        <w:pStyle w:val="ListParagraph"/>
        <w:numPr>
          <w:ilvl w:val="0"/>
          <w:numId w:val="1"/>
        </w:numPr>
        <w:jc w:val="both"/>
        <w:rPr>
          <w:sz w:val="22"/>
          <w:szCs w:val="22"/>
        </w:rPr>
      </w:pPr>
      <w:r w:rsidRPr="007251DE">
        <w:rPr>
          <w:sz w:val="22"/>
          <w:szCs w:val="22"/>
        </w:rPr>
        <w:t>Novel avenues for social critique facilitated by atheism</w:t>
      </w:r>
    </w:p>
    <w:p w14:paraId="55AFCD5D" w14:textId="356A242B" w:rsidR="00090553" w:rsidRPr="007251DE" w:rsidRDefault="00090553" w:rsidP="007251DE">
      <w:pPr>
        <w:pStyle w:val="ListParagraph"/>
        <w:numPr>
          <w:ilvl w:val="0"/>
          <w:numId w:val="1"/>
        </w:numPr>
        <w:jc w:val="both"/>
        <w:rPr>
          <w:sz w:val="22"/>
          <w:szCs w:val="22"/>
        </w:rPr>
      </w:pPr>
      <w:r w:rsidRPr="007251DE">
        <w:rPr>
          <w:sz w:val="22"/>
          <w:szCs w:val="22"/>
        </w:rPr>
        <w:t>The relevance and manifestations of secularism in Southeast Asian political landscapes</w:t>
      </w:r>
    </w:p>
    <w:p w14:paraId="43FA5E09" w14:textId="77777777" w:rsidR="00090553" w:rsidRPr="007251DE" w:rsidRDefault="00090553" w:rsidP="007251DE">
      <w:pPr>
        <w:pStyle w:val="ListParagraph"/>
        <w:jc w:val="both"/>
        <w:rPr>
          <w:sz w:val="22"/>
          <w:szCs w:val="22"/>
        </w:rPr>
      </w:pPr>
    </w:p>
    <w:p w14:paraId="54664492" w14:textId="4443F18E" w:rsidR="00090553" w:rsidRPr="007251DE" w:rsidRDefault="00090553" w:rsidP="007251DE">
      <w:pPr>
        <w:jc w:val="both"/>
        <w:rPr>
          <w:sz w:val="22"/>
          <w:szCs w:val="22"/>
        </w:rPr>
      </w:pPr>
      <w:r w:rsidRPr="007251DE">
        <w:rPr>
          <w:sz w:val="22"/>
          <w:szCs w:val="22"/>
        </w:rPr>
        <w:t xml:space="preserve">By participating in our panel, you will engage with fellow scholars in unraveling the complex interplay of </w:t>
      </w:r>
      <w:proofErr w:type="spellStart"/>
      <w:r w:rsidRPr="007251DE">
        <w:rPr>
          <w:sz w:val="22"/>
          <w:szCs w:val="22"/>
        </w:rPr>
        <w:t>nonreligiosity</w:t>
      </w:r>
      <w:proofErr w:type="spellEnd"/>
      <w:r w:rsidRPr="007251DE">
        <w:rPr>
          <w:sz w:val="22"/>
          <w:szCs w:val="22"/>
        </w:rPr>
        <w:t>, atheism, and secularism in Southeast Asia. Your insights will contribute to a holistic perspective that transcends disciplinary boundaries and advances our collective understanding of this evolving phenomenon.</w:t>
      </w:r>
    </w:p>
    <w:p w14:paraId="1ADA5739" w14:textId="77777777" w:rsidR="007251DE" w:rsidRPr="007251DE" w:rsidRDefault="007251DE" w:rsidP="007251DE">
      <w:pPr>
        <w:jc w:val="both"/>
        <w:rPr>
          <w:sz w:val="22"/>
          <w:szCs w:val="22"/>
        </w:rPr>
      </w:pPr>
    </w:p>
    <w:p w14:paraId="1AA2ABA8" w14:textId="13512925" w:rsidR="007251DE" w:rsidRPr="007251DE" w:rsidRDefault="007251DE" w:rsidP="007251DE">
      <w:pPr>
        <w:jc w:val="both"/>
        <w:rPr>
          <w:sz w:val="22"/>
          <w:szCs w:val="22"/>
        </w:rPr>
      </w:pPr>
    </w:p>
    <w:p w14:paraId="21503633" w14:textId="27D9EB98" w:rsidR="00090553" w:rsidRPr="007251DE" w:rsidRDefault="00E229F7" w:rsidP="007251DE">
      <w:pPr>
        <w:jc w:val="both"/>
        <w:rPr>
          <w:sz w:val="22"/>
          <w:szCs w:val="22"/>
        </w:rPr>
      </w:pPr>
      <w:r w:rsidRPr="00E229F7">
        <w:rPr>
          <w:sz w:val="22"/>
          <w:szCs w:val="22"/>
        </w:rPr>
        <w:t>Format: single session panel</w:t>
      </w:r>
      <w:r>
        <w:rPr>
          <w:sz w:val="22"/>
          <w:szCs w:val="22"/>
        </w:rPr>
        <w:t xml:space="preserve"> (1x90 min)</w:t>
      </w:r>
      <w:r w:rsidR="001867EB">
        <w:rPr>
          <w:sz w:val="22"/>
          <w:szCs w:val="22"/>
        </w:rPr>
        <w:t>, we are looking for up to 4 presenters</w:t>
      </w:r>
    </w:p>
    <w:p w14:paraId="37BB3015" w14:textId="77777777" w:rsidR="00BA0CC9" w:rsidRPr="007251DE" w:rsidRDefault="00BA0CC9" w:rsidP="007251DE">
      <w:pPr>
        <w:jc w:val="both"/>
        <w:rPr>
          <w:sz w:val="22"/>
          <w:szCs w:val="22"/>
        </w:rPr>
      </w:pPr>
    </w:p>
    <w:sectPr w:rsidR="00BA0CC9" w:rsidRPr="007251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F8B6" w14:textId="77777777" w:rsidR="009F480B" w:rsidRDefault="009F480B" w:rsidP="007251DE">
      <w:r>
        <w:separator/>
      </w:r>
    </w:p>
  </w:endnote>
  <w:endnote w:type="continuationSeparator" w:id="0">
    <w:p w14:paraId="4D1F8B20" w14:textId="77777777" w:rsidR="009F480B" w:rsidRDefault="009F480B" w:rsidP="0072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ED33" w14:textId="77777777" w:rsidR="009F480B" w:rsidRDefault="009F480B" w:rsidP="007251DE">
      <w:r>
        <w:separator/>
      </w:r>
    </w:p>
  </w:footnote>
  <w:footnote w:type="continuationSeparator" w:id="0">
    <w:p w14:paraId="69A271F3" w14:textId="77777777" w:rsidR="009F480B" w:rsidRDefault="009F480B" w:rsidP="00725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12A05"/>
    <w:multiLevelType w:val="hybridMultilevel"/>
    <w:tmpl w:val="A8C076F2"/>
    <w:lvl w:ilvl="0" w:tplc="CAAE03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1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53"/>
    <w:rsid w:val="00090553"/>
    <w:rsid w:val="00166A96"/>
    <w:rsid w:val="001867EB"/>
    <w:rsid w:val="004E4D65"/>
    <w:rsid w:val="004F13B9"/>
    <w:rsid w:val="00660028"/>
    <w:rsid w:val="006812C9"/>
    <w:rsid w:val="007251DE"/>
    <w:rsid w:val="008B5AF7"/>
    <w:rsid w:val="00927FC7"/>
    <w:rsid w:val="009F253B"/>
    <w:rsid w:val="009F480B"/>
    <w:rsid w:val="00BA0CC9"/>
    <w:rsid w:val="00BE6C22"/>
    <w:rsid w:val="00DA7250"/>
    <w:rsid w:val="00E229F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3CA3A"/>
  <w15:chartTrackingRefBased/>
  <w15:docId w15:val="{DE0AC7B4-E1CF-B644-8366-04B3B2C5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553"/>
    <w:pPr>
      <w:ind w:left="720"/>
      <w:contextualSpacing/>
    </w:pPr>
  </w:style>
  <w:style w:type="character" w:styleId="Hyperlink">
    <w:name w:val="Hyperlink"/>
    <w:basedOn w:val="DefaultParagraphFont"/>
    <w:uiPriority w:val="99"/>
    <w:unhideWhenUsed/>
    <w:rsid w:val="00090553"/>
    <w:rPr>
      <w:color w:val="0563C1" w:themeColor="hyperlink"/>
      <w:u w:val="single"/>
    </w:rPr>
  </w:style>
  <w:style w:type="character" w:styleId="UnresolvedMention">
    <w:name w:val="Unresolved Mention"/>
    <w:basedOn w:val="DefaultParagraphFont"/>
    <w:uiPriority w:val="99"/>
    <w:semiHidden/>
    <w:unhideWhenUsed/>
    <w:rsid w:val="00090553"/>
    <w:rPr>
      <w:color w:val="605E5C"/>
      <w:shd w:val="clear" w:color="auto" w:fill="E1DFDD"/>
    </w:rPr>
  </w:style>
  <w:style w:type="character" w:styleId="FollowedHyperlink">
    <w:name w:val="FollowedHyperlink"/>
    <w:basedOn w:val="DefaultParagraphFont"/>
    <w:uiPriority w:val="99"/>
    <w:semiHidden/>
    <w:unhideWhenUsed/>
    <w:rsid w:val="007251DE"/>
    <w:rPr>
      <w:color w:val="954F72" w:themeColor="followedHyperlink"/>
      <w:u w:val="single"/>
    </w:rPr>
  </w:style>
  <w:style w:type="paragraph" w:styleId="Header">
    <w:name w:val="header"/>
    <w:basedOn w:val="Normal"/>
    <w:link w:val="HeaderChar"/>
    <w:uiPriority w:val="99"/>
    <w:unhideWhenUsed/>
    <w:rsid w:val="007251DE"/>
    <w:pPr>
      <w:tabs>
        <w:tab w:val="center" w:pos="4680"/>
        <w:tab w:val="right" w:pos="9360"/>
      </w:tabs>
    </w:pPr>
  </w:style>
  <w:style w:type="character" w:customStyle="1" w:styleId="HeaderChar">
    <w:name w:val="Header Char"/>
    <w:basedOn w:val="DefaultParagraphFont"/>
    <w:link w:val="Header"/>
    <w:uiPriority w:val="99"/>
    <w:rsid w:val="007251DE"/>
  </w:style>
  <w:style w:type="paragraph" w:styleId="Footer">
    <w:name w:val="footer"/>
    <w:basedOn w:val="Normal"/>
    <w:link w:val="FooterChar"/>
    <w:uiPriority w:val="99"/>
    <w:unhideWhenUsed/>
    <w:rsid w:val="007251DE"/>
    <w:pPr>
      <w:tabs>
        <w:tab w:val="center" w:pos="4680"/>
        <w:tab w:val="right" w:pos="9360"/>
      </w:tabs>
    </w:pPr>
  </w:style>
  <w:style w:type="character" w:customStyle="1" w:styleId="FooterChar">
    <w:name w:val="Footer Char"/>
    <w:basedOn w:val="DefaultParagraphFont"/>
    <w:link w:val="Footer"/>
    <w:uiPriority w:val="99"/>
    <w:rsid w:val="0072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844">
      <w:bodyDiv w:val="1"/>
      <w:marLeft w:val="0"/>
      <w:marRight w:val="0"/>
      <w:marTop w:val="0"/>
      <w:marBottom w:val="0"/>
      <w:divBdr>
        <w:top w:val="none" w:sz="0" w:space="0" w:color="auto"/>
        <w:left w:val="none" w:sz="0" w:space="0" w:color="auto"/>
        <w:bottom w:val="none" w:sz="0" w:space="0" w:color="auto"/>
        <w:right w:val="none" w:sz="0" w:space="0" w:color="auto"/>
      </w:divBdr>
    </w:div>
    <w:div w:id="178278236">
      <w:bodyDiv w:val="1"/>
      <w:marLeft w:val="0"/>
      <w:marRight w:val="0"/>
      <w:marTop w:val="0"/>
      <w:marBottom w:val="0"/>
      <w:divBdr>
        <w:top w:val="none" w:sz="0" w:space="0" w:color="auto"/>
        <w:left w:val="none" w:sz="0" w:space="0" w:color="auto"/>
        <w:bottom w:val="none" w:sz="0" w:space="0" w:color="auto"/>
        <w:right w:val="none" w:sz="0" w:space="0" w:color="auto"/>
      </w:divBdr>
      <w:divsChild>
        <w:div w:id="492448382">
          <w:marLeft w:val="0"/>
          <w:marRight w:val="0"/>
          <w:marTop w:val="0"/>
          <w:marBottom w:val="0"/>
          <w:divBdr>
            <w:top w:val="single" w:sz="2" w:space="0" w:color="D9D9E3"/>
            <w:left w:val="single" w:sz="2" w:space="0" w:color="D9D9E3"/>
            <w:bottom w:val="single" w:sz="2" w:space="0" w:color="D9D9E3"/>
            <w:right w:val="single" w:sz="2" w:space="0" w:color="D9D9E3"/>
          </w:divBdr>
          <w:divsChild>
            <w:div w:id="1436486090">
              <w:marLeft w:val="0"/>
              <w:marRight w:val="0"/>
              <w:marTop w:val="0"/>
              <w:marBottom w:val="0"/>
              <w:divBdr>
                <w:top w:val="single" w:sz="2" w:space="0" w:color="D9D9E3"/>
                <w:left w:val="single" w:sz="2" w:space="0" w:color="D9D9E3"/>
                <w:bottom w:val="single" w:sz="2" w:space="0" w:color="D9D9E3"/>
                <w:right w:val="single" w:sz="2" w:space="0" w:color="D9D9E3"/>
              </w:divBdr>
              <w:divsChild>
                <w:div w:id="1969581683">
                  <w:marLeft w:val="0"/>
                  <w:marRight w:val="0"/>
                  <w:marTop w:val="0"/>
                  <w:marBottom w:val="0"/>
                  <w:divBdr>
                    <w:top w:val="single" w:sz="2" w:space="0" w:color="D9D9E3"/>
                    <w:left w:val="single" w:sz="2" w:space="0" w:color="D9D9E3"/>
                    <w:bottom w:val="single" w:sz="2" w:space="0" w:color="D9D9E3"/>
                    <w:right w:val="single" w:sz="2" w:space="0" w:color="D9D9E3"/>
                  </w:divBdr>
                  <w:divsChild>
                    <w:div w:id="485823809">
                      <w:marLeft w:val="0"/>
                      <w:marRight w:val="0"/>
                      <w:marTop w:val="0"/>
                      <w:marBottom w:val="0"/>
                      <w:divBdr>
                        <w:top w:val="single" w:sz="2" w:space="0" w:color="D9D9E3"/>
                        <w:left w:val="single" w:sz="2" w:space="0" w:color="D9D9E3"/>
                        <w:bottom w:val="single" w:sz="2" w:space="0" w:color="D9D9E3"/>
                        <w:right w:val="single" w:sz="2" w:space="0" w:color="D9D9E3"/>
                      </w:divBdr>
                      <w:divsChild>
                        <w:div w:id="1944529570">
                          <w:marLeft w:val="0"/>
                          <w:marRight w:val="0"/>
                          <w:marTop w:val="0"/>
                          <w:marBottom w:val="0"/>
                          <w:divBdr>
                            <w:top w:val="single" w:sz="2" w:space="0" w:color="auto"/>
                            <w:left w:val="single" w:sz="2" w:space="0" w:color="auto"/>
                            <w:bottom w:val="single" w:sz="6" w:space="0" w:color="auto"/>
                            <w:right w:val="single" w:sz="2" w:space="0" w:color="auto"/>
                          </w:divBdr>
                          <w:divsChild>
                            <w:div w:id="1315794104">
                              <w:marLeft w:val="0"/>
                              <w:marRight w:val="0"/>
                              <w:marTop w:val="100"/>
                              <w:marBottom w:val="100"/>
                              <w:divBdr>
                                <w:top w:val="single" w:sz="2" w:space="0" w:color="D9D9E3"/>
                                <w:left w:val="single" w:sz="2" w:space="0" w:color="D9D9E3"/>
                                <w:bottom w:val="single" w:sz="2" w:space="0" w:color="D9D9E3"/>
                                <w:right w:val="single" w:sz="2" w:space="0" w:color="D9D9E3"/>
                              </w:divBdr>
                              <w:divsChild>
                                <w:div w:id="220482574">
                                  <w:marLeft w:val="0"/>
                                  <w:marRight w:val="0"/>
                                  <w:marTop w:val="0"/>
                                  <w:marBottom w:val="0"/>
                                  <w:divBdr>
                                    <w:top w:val="single" w:sz="2" w:space="0" w:color="D9D9E3"/>
                                    <w:left w:val="single" w:sz="2" w:space="0" w:color="D9D9E3"/>
                                    <w:bottom w:val="single" w:sz="2" w:space="0" w:color="D9D9E3"/>
                                    <w:right w:val="single" w:sz="2" w:space="0" w:color="D9D9E3"/>
                                  </w:divBdr>
                                  <w:divsChild>
                                    <w:div w:id="932665817">
                                      <w:marLeft w:val="0"/>
                                      <w:marRight w:val="0"/>
                                      <w:marTop w:val="0"/>
                                      <w:marBottom w:val="0"/>
                                      <w:divBdr>
                                        <w:top w:val="single" w:sz="2" w:space="0" w:color="D9D9E3"/>
                                        <w:left w:val="single" w:sz="2" w:space="0" w:color="D9D9E3"/>
                                        <w:bottom w:val="single" w:sz="2" w:space="0" w:color="D9D9E3"/>
                                        <w:right w:val="single" w:sz="2" w:space="0" w:color="D9D9E3"/>
                                      </w:divBdr>
                                      <w:divsChild>
                                        <w:div w:id="1479298805">
                                          <w:marLeft w:val="0"/>
                                          <w:marRight w:val="0"/>
                                          <w:marTop w:val="0"/>
                                          <w:marBottom w:val="0"/>
                                          <w:divBdr>
                                            <w:top w:val="single" w:sz="2" w:space="0" w:color="D9D9E3"/>
                                            <w:left w:val="single" w:sz="2" w:space="0" w:color="D9D9E3"/>
                                            <w:bottom w:val="single" w:sz="2" w:space="0" w:color="D9D9E3"/>
                                            <w:right w:val="single" w:sz="2" w:space="0" w:color="D9D9E3"/>
                                          </w:divBdr>
                                          <w:divsChild>
                                            <w:div w:id="751121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38590851">
          <w:marLeft w:val="0"/>
          <w:marRight w:val="0"/>
          <w:marTop w:val="0"/>
          <w:marBottom w:val="0"/>
          <w:divBdr>
            <w:top w:val="none" w:sz="0" w:space="0" w:color="auto"/>
            <w:left w:val="none" w:sz="0" w:space="0" w:color="auto"/>
            <w:bottom w:val="none" w:sz="0" w:space="0" w:color="auto"/>
            <w:right w:val="none" w:sz="0" w:space="0" w:color="auto"/>
          </w:divBdr>
          <w:divsChild>
            <w:div w:id="236332267">
              <w:marLeft w:val="0"/>
              <w:marRight w:val="0"/>
              <w:marTop w:val="0"/>
              <w:marBottom w:val="0"/>
              <w:divBdr>
                <w:top w:val="single" w:sz="2" w:space="0" w:color="D9D9E3"/>
                <w:left w:val="single" w:sz="2" w:space="0" w:color="D9D9E3"/>
                <w:bottom w:val="single" w:sz="2" w:space="0" w:color="D9D9E3"/>
                <w:right w:val="single" w:sz="2" w:space="0" w:color="D9D9E3"/>
              </w:divBdr>
              <w:divsChild>
                <w:div w:id="1766337589">
                  <w:marLeft w:val="0"/>
                  <w:marRight w:val="0"/>
                  <w:marTop w:val="0"/>
                  <w:marBottom w:val="0"/>
                  <w:divBdr>
                    <w:top w:val="single" w:sz="2" w:space="0" w:color="D9D9E3"/>
                    <w:left w:val="single" w:sz="2" w:space="0" w:color="D9D9E3"/>
                    <w:bottom w:val="single" w:sz="2" w:space="0" w:color="D9D9E3"/>
                    <w:right w:val="single" w:sz="2" w:space="0" w:color="D9D9E3"/>
                  </w:divBdr>
                  <w:divsChild>
                    <w:div w:id="657417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08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ldama@up.edu.pg" TargetMode="External"/><Relationship Id="rId3" Type="http://schemas.openxmlformats.org/officeDocument/2006/relationships/settings" Target="settings.xml"/><Relationship Id="rId7" Type="http://schemas.openxmlformats.org/officeDocument/2006/relationships/hyperlink" Target="mailto:tduile@uni-bon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2193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Kennex Aldama</dc:creator>
  <cp:keywords/>
  <dc:description/>
  <cp:lastModifiedBy>Siegers, S.R. (Yayah)</cp:lastModifiedBy>
  <cp:revision>2</cp:revision>
  <dcterms:created xsi:type="dcterms:W3CDTF">2023-11-29T09:46:00Z</dcterms:created>
  <dcterms:modified xsi:type="dcterms:W3CDTF">2023-11-29T09:46:00Z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ea5d64822673bc76cd87e55c4b50d429efb07b1e804a7e84335f497ed9db6824</vt:lpwstr>
  </property>
</Properties>
</file>