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56FC" w14:textId="580B6232" w:rsidR="00484204" w:rsidRDefault="005905CB">
      <w:pPr>
        <w:rPr>
          <w:b/>
          <w:bCs/>
          <w:sz w:val="28"/>
          <w:szCs w:val="28"/>
        </w:rPr>
      </w:pPr>
      <w:r>
        <w:rPr>
          <w:b/>
          <w:bCs/>
          <w:sz w:val="28"/>
          <w:szCs w:val="28"/>
        </w:rPr>
        <w:t>E</w:t>
      </w:r>
      <w:r w:rsidR="00484204">
        <w:rPr>
          <w:b/>
          <w:bCs/>
          <w:sz w:val="28"/>
          <w:szCs w:val="28"/>
        </w:rPr>
        <w:t>uro</w:t>
      </w:r>
      <w:r>
        <w:rPr>
          <w:b/>
          <w:bCs/>
          <w:sz w:val="28"/>
          <w:szCs w:val="28"/>
        </w:rPr>
        <w:t>SEAS 20</w:t>
      </w:r>
      <w:r w:rsidR="00484204">
        <w:rPr>
          <w:b/>
          <w:bCs/>
          <w:sz w:val="28"/>
          <w:szCs w:val="28"/>
        </w:rPr>
        <w:t>23</w:t>
      </w:r>
    </w:p>
    <w:p w14:paraId="5480A61F" w14:textId="77777777" w:rsidR="005905CB" w:rsidRDefault="005905CB">
      <w:pPr>
        <w:rPr>
          <w:i/>
          <w:iCs/>
          <w:sz w:val="24"/>
          <w:szCs w:val="24"/>
        </w:rPr>
      </w:pPr>
      <w:r>
        <w:rPr>
          <w:i/>
          <w:iCs/>
          <w:sz w:val="24"/>
          <w:szCs w:val="24"/>
        </w:rPr>
        <w:t>Laboratory Proposal</w:t>
      </w:r>
    </w:p>
    <w:p w14:paraId="0B999EAF" w14:textId="77777777" w:rsidR="00AA3543" w:rsidRDefault="005905CB">
      <w:pPr>
        <w:rPr>
          <w:b/>
          <w:bCs/>
          <w:sz w:val="24"/>
          <w:szCs w:val="24"/>
        </w:rPr>
      </w:pPr>
      <w:r w:rsidRPr="00AA3543">
        <w:rPr>
          <w:b/>
          <w:bCs/>
          <w:sz w:val="24"/>
          <w:szCs w:val="24"/>
        </w:rPr>
        <w:t xml:space="preserve">Title: </w:t>
      </w:r>
      <w:r w:rsidR="00AA3543">
        <w:rPr>
          <w:b/>
          <w:bCs/>
          <w:sz w:val="24"/>
          <w:szCs w:val="24"/>
        </w:rPr>
        <w:t xml:space="preserve"> </w:t>
      </w:r>
    </w:p>
    <w:p w14:paraId="3635375C" w14:textId="5FAC755C" w:rsidR="005905CB" w:rsidRPr="00AA3543" w:rsidRDefault="00AE6E0B">
      <w:pPr>
        <w:rPr>
          <w:b/>
          <w:bCs/>
          <w:sz w:val="24"/>
          <w:szCs w:val="24"/>
        </w:rPr>
      </w:pPr>
      <w:r>
        <w:rPr>
          <w:i/>
          <w:iCs/>
          <w:sz w:val="24"/>
          <w:szCs w:val="24"/>
        </w:rPr>
        <w:t>Are there ‘Witches’ in Southeast Asia?</w:t>
      </w:r>
    </w:p>
    <w:p w14:paraId="32999E69" w14:textId="77777777" w:rsidR="001537CF" w:rsidRPr="00AA3543" w:rsidRDefault="005905CB">
      <w:pPr>
        <w:rPr>
          <w:b/>
          <w:bCs/>
          <w:sz w:val="24"/>
          <w:szCs w:val="24"/>
        </w:rPr>
      </w:pPr>
      <w:r w:rsidRPr="00AA3543">
        <w:rPr>
          <w:b/>
          <w:bCs/>
          <w:sz w:val="24"/>
          <w:szCs w:val="24"/>
        </w:rPr>
        <w:t>Convener</w:t>
      </w:r>
      <w:r w:rsidR="001537CF" w:rsidRPr="00AA3543">
        <w:rPr>
          <w:b/>
          <w:bCs/>
          <w:sz w:val="24"/>
          <w:szCs w:val="24"/>
        </w:rPr>
        <w:t>s</w:t>
      </w:r>
      <w:r w:rsidRPr="00AA3543">
        <w:rPr>
          <w:b/>
          <w:bCs/>
          <w:sz w:val="24"/>
          <w:szCs w:val="24"/>
        </w:rPr>
        <w:t xml:space="preserve">: </w:t>
      </w:r>
    </w:p>
    <w:p w14:paraId="39E1CD7C" w14:textId="77777777" w:rsidR="00E45EE0" w:rsidRDefault="005905CB">
      <w:pPr>
        <w:rPr>
          <w:sz w:val="24"/>
          <w:szCs w:val="24"/>
        </w:rPr>
      </w:pPr>
      <w:r w:rsidRPr="00AE6E0B">
        <w:rPr>
          <w:sz w:val="24"/>
          <w:szCs w:val="24"/>
        </w:rPr>
        <w:t xml:space="preserve">Benjamin Baumann </w:t>
      </w:r>
      <w:r w:rsidR="001537CF" w:rsidRPr="00AE6E0B">
        <w:rPr>
          <w:sz w:val="24"/>
          <w:szCs w:val="24"/>
        </w:rPr>
        <w:t>(</w:t>
      </w:r>
      <w:r w:rsidR="00561155" w:rsidRPr="00AE6E0B">
        <w:rPr>
          <w:sz w:val="24"/>
          <w:szCs w:val="24"/>
        </w:rPr>
        <w:t xml:space="preserve">Assistant Professor, </w:t>
      </w:r>
      <w:r w:rsidR="005F3D0F" w:rsidRPr="00AE6E0B">
        <w:rPr>
          <w:sz w:val="24"/>
          <w:szCs w:val="24"/>
        </w:rPr>
        <w:t xml:space="preserve">Institute of </w:t>
      </w:r>
      <w:r w:rsidR="00CF56AE" w:rsidRPr="00AE6E0B">
        <w:rPr>
          <w:sz w:val="24"/>
          <w:szCs w:val="24"/>
        </w:rPr>
        <w:t>Anthropology</w:t>
      </w:r>
      <w:r w:rsidR="00561155" w:rsidRPr="00AE6E0B">
        <w:rPr>
          <w:sz w:val="24"/>
          <w:szCs w:val="24"/>
        </w:rPr>
        <w:t xml:space="preserve">, </w:t>
      </w:r>
      <w:r w:rsidR="00CF56AE" w:rsidRPr="00AE6E0B">
        <w:rPr>
          <w:sz w:val="24"/>
          <w:szCs w:val="24"/>
        </w:rPr>
        <w:t>Heidelberg University</w:t>
      </w:r>
      <w:r w:rsidR="001537CF" w:rsidRPr="00AE6E0B">
        <w:rPr>
          <w:sz w:val="24"/>
          <w:szCs w:val="24"/>
        </w:rPr>
        <w:t xml:space="preserve">) </w:t>
      </w:r>
    </w:p>
    <w:p w14:paraId="4A5F01C1" w14:textId="7147E42F" w:rsidR="00195FA2" w:rsidRPr="00AE6E0B" w:rsidRDefault="00E45EE0">
      <w:pPr>
        <w:rPr>
          <w:sz w:val="24"/>
          <w:szCs w:val="24"/>
        </w:rPr>
      </w:pPr>
      <w:r>
        <w:rPr>
          <w:sz w:val="24"/>
          <w:szCs w:val="24"/>
        </w:rPr>
        <w:t>benjamin.baumann@eth.uni-heidelberg.de</w:t>
      </w:r>
      <w:r w:rsidR="005905CB" w:rsidRPr="00AE6E0B">
        <w:rPr>
          <w:sz w:val="24"/>
          <w:szCs w:val="24"/>
        </w:rPr>
        <w:t xml:space="preserve"> </w:t>
      </w:r>
    </w:p>
    <w:p w14:paraId="39D31A43" w14:textId="2392C34A" w:rsidR="005905CB" w:rsidRDefault="00CF56AE">
      <w:pPr>
        <w:rPr>
          <w:sz w:val="24"/>
          <w:szCs w:val="24"/>
        </w:rPr>
      </w:pPr>
      <w:r>
        <w:rPr>
          <w:sz w:val="24"/>
          <w:szCs w:val="24"/>
        </w:rPr>
        <w:t xml:space="preserve">Sophie </w:t>
      </w:r>
      <w:proofErr w:type="spellStart"/>
      <w:r>
        <w:rPr>
          <w:sz w:val="24"/>
          <w:szCs w:val="24"/>
        </w:rPr>
        <w:t>Strauß</w:t>
      </w:r>
      <w:proofErr w:type="spellEnd"/>
      <w:r w:rsidR="001537CF" w:rsidRPr="00561155">
        <w:rPr>
          <w:sz w:val="24"/>
          <w:szCs w:val="24"/>
        </w:rPr>
        <w:t xml:space="preserve"> (</w:t>
      </w:r>
      <w:r w:rsidRPr="00AE6E0B">
        <w:rPr>
          <w:sz w:val="24"/>
          <w:szCs w:val="24"/>
        </w:rPr>
        <w:t>Assistant Professor, Institute of Anthropology, Heidelberg University</w:t>
      </w:r>
      <w:r w:rsidR="001537CF" w:rsidRPr="00561155">
        <w:rPr>
          <w:sz w:val="24"/>
          <w:szCs w:val="24"/>
        </w:rPr>
        <w:t>)</w:t>
      </w:r>
    </w:p>
    <w:p w14:paraId="505AC0D4" w14:textId="2010ABF5" w:rsidR="00E45EE0" w:rsidRPr="00561155" w:rsidRDefault="00E45EE0">
      <w:pPr>
        <w:rPr>
          <w:sz w:val="24"/>
          <w:szCs w:val="24"/>
        </w:rPr>
      </w:pPr>
      <w:r w:rsidRPr="00E45EE0">
        <w:rPr>
          <w:sz w:val="24"/>
          <w:szCs w:val="24"/>
        </w:rPr>
        <w:t>sophie.strauss@eth.uni-heidelberg.de</w:t>
      </w:r>
    </w:p>
    <w:p w14:paraId="72A34B50" w14:textId="7C17179E" w:rsidR="005905CB" w:rsidRPr="00AD38C9" w:rsidRDefault="00AD38C9">
      <w:pPr>
        <w:rPr>
          <w:b/>
          <w:bCs/>
          <w:sz w:val="24"/>
          <w:szCs w:val="24"/>
        </w:rPr>
      </w:pPr>
      <w:r>
        <w:rPr>
          <w:b/>
          <w:bCs/>
          <w:sz w:val="24"/>
          <w:szCs w:val="24"/>
        </w:rPr>
        <w:t>T</w:t>
      </w:r>
      <w:r w:rsidR="00E45EE0">
        <w:rPr>
          <w:b/>
          <w:bCs/>
          <w:sz w:val="24"/>
          <w:szCs w:val="24"/>
        </w:rPr>
        <w:t>heme</w:t>
      </w:r>
    </w:p>
    <w:p w14:paraId="78D32F14" w14:textId="14CED48A" w:rsidR="00B62BEC" w:rsidRDefault="00CF56AE">
      <w:pPr>
        <w:rPr>
          <w:sz w:val="24"/>
          <w:szCs w:val="24"/>
        </w:rPr>
      </w:pPr>
      <w:r>
        <w:rPr>
          <w:sz w:val="24"/>
          <w:szCs w:val="24"/>
        </w:rPr>
        <w:t xml:space="preserve">Although ‘witchcraft’ is an elusive term, it played an important role </w:t>
      </w:r>
      <w:r w:rsidR="00C61B9E">
        <w:rPr>
          <w:sz w:val="24"/>
          <w:szCs w:val="24"/>
        </w:rPr>
        <w:t xml:space="preserve">as an analytic concept </w:t>
      </w:r>
      <w:r>
        <w:rPr>
          <w:sz w:val="24"/>
          <w:szCs w:val="24"/>
        </w:rPr>
        <w:t xml:space="preserve">in the disciplinary history of </w:t>
      </w:r>
      <w:r w:rsidR="00664B4D">
        <w:rPr>
          <w:sz w:val="24"/>
          <w:szCs w:val="24"/>
        </w:rPr>
        <w:t xml:space="preserve">modern </w:t>
      </w:r>
      <w:r>
        <w:rPr>
          <w:sz w:val="24"/>
          <w:szCs w:val="24"/>
        </w:rPr>
        <w:t xml:space="preserve">anthropology. </w:t>
      </w:r>
      <w:r w:rsidR="00664B4D">
        <w:rPr>
          <w:sz w:val="24"/>
          <w:szCs w:val="24"/>
        </w:rPr>
        <w:t>Seminal publications that are now seen as ‘classics’ of the discipline address magic and witchcraft more specifically. Most of these ‘classics’ deal with African societies</w:t>
      </w:r>
      <w:r w:rsidR="00C61B9E">
        <w:rPr>
          <w:sz w:val="24"/>
          <w:szCs w:val="24"/>
        </w:rPr>
        <w:t>.</w:t>
      </w:r>
      <w:r w:rsidR="00C26836">
        <w:rPr>
          <w:sz w:val="24"/>
          <w:szCs w:val="24"/>
        </w:rPr>
        <w:t xml:space="preserve"> </w:t>
      </w:r>
      <w:r w:rsidR="00C61B9E">
        <w:rPr>
          <w:sz w:val="24"/>
          <w:szCs w:val="24"/>
        </w:rPr>
        <w:t>This</w:t>
      </w:r>
      <w:r w:rsidR="00664B4D">
        <w:rPr>
          <w:sz w:val="24"/>
          <w:szCs w:val="24"/>
        </w:rPr>
        <w:t xml:space="preserve"> contributed essentially to the close association that exists between the region ‘Africa’ and the field ‘witchcraft’</w:t>
      </w:r>
      <w:r w:rsidR="00B62BEC">
        <w:rPr>
          <w:sz w:val="24"/>
          <w:szCs w:val="24"/>
        </w:rPr>
        <w:t xml:space="preserve"> in </w:t>
      </w:r>
      <w:r w:rsidR="00880779">
        <w:rPr>
          <w:sz w:val="24"/>
          <w:szCs w:val="24"/>
        </w:rPr>
        <w:t>anthropological</w:t>
      </w:r>
      <w:r w:rsidR="00B62BEC">
        <w:rPr>
          <w:sz w:val="24"/>
          <w:szCs w:val="24"/>
        </w:rPr>
        <w:t xml:space="preserve"> </w:t>
      </w:r>
      <w:r w:rsidR="00880779">
        <w:rPr>
          <w:sz w:val="24"/>
          <w:szCs w:val="24"/>
        </w:rPr>
        <w:t>discourses</w:t>
      </w:r>
      <w:r w:rsidR="00664B4D">
        <w:rPr>
          <w:sz w:val="24"/>
          <w:szCs w:val="24"/>
        </w:rPr>
        <w:t>. While there were always contributions from Southeast Asia that address practices loosely classifiable under the label ‘witchcraft’, there are only a few volumes that look at these phenomena from a comparative Southeast Asian perspective</w:t>
      </w:r>
      <w:r w:rsidR="00BC4855">
        <w:rPr>
          <w:sz w:val="24"/>
          <w:szCs w:val="24"/>
        </w:rPr>
        <w:t xml:space="preserve"> </w:t>
      </w:r>
      <w:r w:rsidR="00B92117">
        <w:rPr>
          <w:sz w:val="24"/>
          <w:szCs w:val="24"/>
        </w:rPr>
        <w:fldChar w:fldCharType="begin"/>
      </w:r>
      <w:r w:rsidR="00B92117">
        <w:rPr>
          <w:sz w:val="24"/>
          <w:szCs w:val="24"/>
        </w:rPr>
        <w:instrText xml:space="preserve"> ADDIN EN.CITE &lt;EndNote&gt;&lt;Cite&gt;&lt;Author&gt;Watson&lt;/Author&gt;&lt;Year&gt;1993&lt;/Year&gt;&lt;RecNum&gt;1177&lt;/RecNum&gt;&lt;DisplayText&gt;(Watson and Ellen 1993)&lt;/DisplayText&gt;&lt;record&gt;&lt;rec-number&gt;1177&lt;/rec-number&gt;&lt;foreign-keys&gt;&lt;key app="EN" db-id="ftdv5r9zs0rfs5e2dzmvted02wvettevee0p" timestamp="1694526793"&gt;1177&lt;/key&gt;&lt;/foreign-keys&gt;&lt;ref-type name="Edited Book"&gt;28&lt;/ref-type&gt;&lt;contributors&gt;&lt;authors&gt;&lt;author&gt;Watson, C.W.&lt;/author&gt;&lt;author&gt;Ellen, Roy&lt;/author&gt;&lt;/authors&gt;&lt;/contributors&gt;&lt;titles&gt;&lt;title&gt;Understanding Witchcraft and Sorcery in Southeast Asia&lt;/title&gt;&lt;/titles&gt;&lt;dates&gt;&lt;year&gt;1993&lt;/year&gt;&lt;/dates&gt;&lt;pub-location&gt;Honolulu&lt;/pub-location&gt;&lt;publisher&gt;University of Hawaii Press&lt;/publisher&gt;&lt;urls&gt;&lt;/urls&gt;&lt;/record&gt;&lt;/Cite&gt;&lt;/EndNote&gt;</w:instrText>
      </w:r>
      <w:r w:rsidR="00B92117">
        <w:rPr>
          <w:sz w:val="24"/>
          <w:szCs w:val="24"/>
        </w:rPr>
        <w:fldChar w:fldCharType="separate"/>
      </w:r>
      <w:r w:rsidR="00B92117">
        <w:rPr>
          <w:noProof/>
          <w:sz w:val="24"/>
          <w:szCs w:val="24"/>
        </w:rPr>
        <w:t>(Watson and Ellen 1993)</w:t>
      </w:r>
      <w:r w:rsidR="00B92117">
        <w:rPr>
          <w:sz w:val="24"/>
          <w:szCs w:val="24"/>
        </w:rPr>
        <w:fldChar w:fldCharType="end"/>
      </w:r>
      <w:r w:rsidR="00664B4D">
        <w:rPr>
          <w:sz w:val="24"/>
          <w:szCs w:val="24"/>
        </w:rPr>
        <w:t xml:space="preserve">. </w:t>
      </w:r>
      <w:r w:rsidR="00B62BEC">
        <w:rPr>
          <w:sz w:val="24"/>
          <w:szCs w:val="24"/>
        </w:rPr>
        <w:t>T</w:t>
      </w:r>
      <w:r w:rsidR="00C26836">
        <w:rPr>
          <w:sz w:val="24"/>
          <w:szCs w:val="24"/>
        </w:rPr>
        <w:t>he</w:t>
      </w:r>
      <w:r w:rsidR="00B62BEC">
        <w:rPr>
          <w:sz w:val="24"/>
          <w:szCs w:val="24"/>
        </w:rPr>
        <w:t xml:space="preserve"> contemporary</w:t>
      </w:r>
      <w:r w:rsidR="00C26836">
        <w:rPr>
          <w:sz w:val="24"/>
          <w:szCs w:val="24"/>
        </w:rPr>
        <w:t xml:space="preserve"> scholarship explicitly addressing witchcraft in the region – with a few remarkable exceptions </w:t>
      </w:r>
      <w:r w:rsidR="00C26836">
        <w:rPr>
          <w:sz w:val="24"/>
          <w:szCs w:val="24"/>
        </w:rPr>
        <w:fldChar w:fldCharType="begin"/>
      </w:r>
      <w:r w:rsidR="00C26836">
        <w:rPr>
          <w:sz w:val="24"/>
          <w:szCs w:val="24"/>
        </w:rPr>
        <w:instrText xml:space="preserve"> ADDIN EN.CITE &lt;EndNote&gt;&lt;Cite&gt;&lt;Author&gt;Siegel&lt;/Author&gt;&lt;Year&gt;2006&lt;/Year&gt;&lt;RecNum&gt;272&lt;/RecNum&gt;&lt;DisplayText&gt;(Bubandt 2014, Siegel 2006)&lt;/DisplayText&gt;&lt;record&gt;&lt;rec-number&gt;272&lt;/rec-number&gt;&lt;foreign-keys&gt;&lt;key app="EN" db-id="ftdv5r9zs0rfs5e2dzmvted02wvettevee0p" timestamp="1577542417"&gt;272&lt;/key&gt;&lt;/foreign-keys&gt;&lt;ref-type name="Book"&gt;6&lt;/ref-type&gt;&lt;contributors&gt;&lt;authors&gt;&lt;author&gt;Siegel, James&lt;/author&gt;&lt;/authors&gt;&lt;/contributors&gt;&lt;titles&gt;&lt;title&gt;Naming the Witch&lt;/title&gt;&lt;/titles&gt;&lt;dates&gt;&lt;year&gt;2006&lt;/year&gt;&lt;/dates&gt;&lt;pub-location&gt;Stanford, CA&lt;/pub-location&gt;&lt;publisher&gt;Stanford University Press&lt;/publisher&gt;&lt;urls&gt;&lt;/urls&gt;&lt;/record&gt;&lt;/Cite&gt;&lt;Cite&gt;&lt;Author&gt;Bubandt&lt;/Author&gt;&lt;Year&gt;2014&lt;/Year&gt;&lt;RecNum&gt;1178&lt;/RecNum&gt;&lt;record&gt;&lt;rec-number&gt;1178&lt;/rec-number&gt;&lt;foreign-keys&gt;&lt;key app="EN" db-id="ftdv5r9zs0rfs5e2dzmvted02wvettevee0p" timestamp="1694527884"&gt;1178&lt;/key&gt;&lt;/foreign-keys&gt;&lt;ref-type name="Book"&gt;6&lt;/ref-type&gt;&lt;contributors&gt;&lt;authors&gt;&lt;author&gt;Bubandt, Nils&lt;/author&gt;&lt;/authors&gt;&lt;/contributors&gt;&lt;titles&gt;&lt;title&gt;The Empty Seashell. Witchcraft and Doubt on an Indonesian Island&lt;/title&gt;&lt;/titles&gt;&lt;dates&gt;&lt;year&gt;2014&lt;/year&gt;&lt;/dates&gt;&lt;pub-location&gt;Cornell&lt;/pub-location&gt;&lt;publisher&gt;Cornell University Press&lt;/publisher&gt;&lt;urls&gt;&lt;/urls&gt;&lt;/record&gt;&lt;/Cite&gt;&lt;/EndNote&gt;</w:instrText>
      </w:r>
      <w:r w:rsidR="00C26836">
        <w:rPr>
          <w:sz w:val="24"/>
          <w:szCs w:val="24"/>
        </w:rPr>
        <w:fldChar w:fldCharType="separate"/>
      </w:r>
      <w:r w:rsidR="00C26836">
        <w:rPr>
          <w:noProof/>
          <w:sz w:val="24"/>
          <w:szCs w:val="24"/>
        </w:rPr>
        <w:t>(Bubandt 2014, Siegel 2006)</w:t>
      </w:r>
      <w:r w:rsidR="00C26836">
        <w:rPr>
          <w:sz w:val="24"/>
          <w:szCs w:val="24"/>
        </w:rPr>
        <w:fldChar w:fldCharType="end"/>
      </w:r>
      <w:r w:rsidR="00C26836">
        <w:rPr>
          <w:sz w:val="24"/>
          <w:szCs w:val="24"/>
        </w:rPr>
        <w:t xml:space="preserve"> – is largely dormant. Simultaneously, </w:t>
      </w:r>
      <w:r w:rsidR="00B62BEC">
        <w:rPr>
          <w:sz w:val="24"/>
          <w:szCs w:val="24"/>
        </w:rPr>
        <w:t>scholars document the</w:t>
      </w:r>
      <w:r w:rsidR="00C26836">
        <w:rPr>
          <w:sz w:val="24"/>
          <w:szCs w:val="24"/>
        </w:rPr>
        <w:t xml:space="preserve"> continuing and growing relevance of witchcraft-related practices in the postmodern and postcolonial </w:t>
      </w:r>
      <w:r w:rsidR="00B62BEC">
        <w:rPr>
          <w:sz w:val="24"/>
          <w:szCs w:val="24"/>
        </w:rPr>
        <w:t>states</w:t>
      </w:r>
      <w:r w:rsidR="00C26836">
        <w:rPr>
          <w:sz w:val="24"/>
          <w:szCs w:val="24"/>
        </w:rPr>
        <w:t xml:space="preserve"> </w:t>
      </w:r>
      <w:r w:rsidR="00B62BEC">
        <w:rPr>
          <w:sz w:val="24"/>
          <w:szCs w:val="24"/>
        </w:rPr>
        <w:t>of Southeast Asia</w:t>
      </w:r>
      <w:r w:rsidR="00C26836">
        <w:rPr>
          <w:sz w:val="24"/>
          <w:szCs w:val="24"/>
        </w:rPr>
        <w:t xml:space="preserve"> </w:t>
      </w:r>
      <w:r w:rsidR="00C26836">
        <w:rPr>
          <w:sz w:val="24"/>
          <w:szCs w:val="24"/>
        </w:rPr>
        <w:fldChar w:fldCharType="begin"/>
      </w:r>
      <w:r w:rsidR="00C26836">
        <w:rPr>
          <w:sz w:val="24"/>
          <w:szCs w:val="24"/>
        </w:rPr>
        <w:instrText xml:space="preserve"> ADDIN EN.CITE &lt;EndNote&gt;&lt;Cite&gt;&lt;Author&gt;Jackson&lt;/Author&gt;&lt;Year&gt;2022&lt;/Year&gt;&lt;RecNum&gt;1179&lt;/RecNum&gt;&lt;DisplayText&gt;(Jackson 2022)&lt;/DisplayText&gt;&lt;record&gt;&lt;rec-number&gt;1179&lt;/rec-number&gt;&lt;foreign-keys&gt;&lt;key app="EN" db-id="ftdv5r9zs0rfs5e2dzmvted02wvettevee0p" timestamp="1694528159"&gt;1179&lt;/key&gt;&lt;/foreign-keys&gt;&lt;ref-type name="Book"&gt;6&lt;/ref-type&gt;&lt;contributors&gt;&lt;authors&gt;&lt;author&gt;Jackson, Peter A.&lt;/author&gt;&lt;/authors&gt;&lt;/contributors&gt;&lt;titles&gt;&lt;title&gt;Capitalism Magic Thailand: Modernity with Enchantment&lt;/title&gt;&lt;/titles&gt;&lt;dates&gt;&lt;year&gt;2022&lt;/year&gt;&lt;/dates&gt;&lt;pub-location&gt;Singapore&lt;/pub-location&gt;&lt;publisher&gt;ISEAS&lt;/publisher&gt;&lt;urls&gt;&lt;/urls&gt;&lt;/record&gt;&lt;/Cite&gt;&lt;/EndNote&gt;</w:instrText>
      </w:r>
      <w:r w:rsidR="00C26836">
        <w:rPr>
          <w:sz w:val="24"/>
          <w:szCs w:val="24"/>
        </w:rPr>
        <w:fldChar w:fldCharType="separate"/>
      </w:r>
      <w:r w:rsidR="00C26836">
        <w:rPr>
          <w:noProof/>
          <w:sz w:val="24"/>
          <w:szCs w:val="24"/>
        </w:rPr>
        <w:t>(Jackson 2022)</w:t>
      </w:r>
      <w:r w:rsidR="00C26836">
        <w:rPr>
          <w:sz w:val="24"/>
          <w:szCs w:val="24"/>
        </w:rPr>
        <w:fldChar w:fldCharType="end"/>
      </w:r>
      <w:r w:rsidR="00C26836">
        <w:rPr>
          <w:sz w:val="24"/>
          <w:szCs w:val="24"/>
        </w:rPr>
        <w:t xml:space="preserve">. </w:t>
      </w:r>
    </w:p>
    <w:p w14:paraId="4CAD24AF" w14:textId="77777777" w:rsidR="00AD38C9" w:rsidRDefault="00664B4D">
      <w:pPr>
        <w:rPr>
          <w:sz w:val="24"/>
          <w:szCs w:val="24"/>
        </w:rPr>
      </w:pPr>
      <w:r>
        <w:rPr>
          <w:sz w:val="24"/>
          <w:szCs w:val="24"/>
        </w:rPr>
        <w:t>Working closely together for the past two years at Heidelberg University’s Institute of Anthropology, the organizers recognized the strong commonalities that exist between witchcraft-related ideas and practices in Bali and Northeastern Thailand. They simultaneously observe that these similarities are rarely addressed</w:t>
      </w:r>
      <w:r w:rsidR="00BC4855">
        <w:rPr>
          <w:sz w:val="24"/>
          <w:szCs w:val="24"/>
        </w:rPr>
        <w:t xml:space="preserve"> in anthropological text</w:t>
      </w:r>
      <w:r w:rsidR="00B2531F">
        <w:rPr>
          <w:sz w:val="24"/>
          <w:szCs w:val="24"/>
        </w:rPr>
        <w:t>s</w:t>
      </w:r>
      <w:r w:rsidR="00AE6E0B">
        <w:rPr>
          <w:sz w:val="24"/>
          <w:szCs w:val="24"/>
        </w:rPr>
        <w:t>,</w:t>
      </w:r>
      <w:r w:rsidR="00BC4855">
        <w:rPr>
          <w:sz w:val="24"/>
          <w:szCs w:val="24"/>
        </w:rPr>
        <w:t xml:space="preserve"> </w:t>
      </w:r>
      <w:r w:rsidR="00AE6E0B">
        <w:rPr>
          <w:sz w:val="24"/>
          <w:szCs w:val="24"/>
        </w:rPr>
        <w:t>which</w:t>
      </w:r>
      <w:r w:rsidR="00BC4855">
        <w:rPr>
          <w:sz w:val="24"/>
          <w:szCs w:val="24"/>
        </w:rPr>
        <w:t xml:space="preserve"> </w:t>
      </w:r>
      <w:r w:rsidR="00B92117">
        <w:rPr>
          <w:sz w:val="24"/>
          <w:szCs w:val="24"/>
        </w:rPr>
        <w:t>tend to</w:t>
      </w:r>
      <w:r w:rsidR="00BC4855">
        <w:rPr>
          <w:sz w:val="24"/>
          <w:szCs w:val="24"/>
        </w:rPr>
        <w:t xml:space="preserve"> deal with </w:t>
      </w:r>
      <w:r w:rsidR="00B92117">
        <w:rPr>
          <w:sz w:val="24"/>
          <w:szCs w:val="24"/>
        </w:rPr>
        <w:t>witchcraft</w:t>
      </w:r>
      <w:r w:rsidR="00C61B9E">
        <w:rPr>
          <w:sz w:val="24"/>
          <w:szCs w:val="24"/>
        </w:rPr>
        <w:t xml:space="preserve"> and </w:t>
      </w:r>
      <w:r w:rsidR="00B92117">
        <w:rPr>
          <w:sz w:val="24"/>
          <w:szCs w:val="24"/>
        </w:rPr>
        <w:t xml:space="preserve">related practices in </w:t>
      </w:r>
      <w:r w:rsidR="00B62BEC">
        <w:rPr>
          <w:sz w:val="24"/>
          <w:szCs w:val="24"/>
        </w:rPr>
        <w:t>insular</w:t>
      </w:r>
      <w:r w:rsidR="00BC4855">
        <w:rPr>
          <w:sz w:val="24"/>
          <w:szCs w:val="24"/>
        </w:rPr>
        <w:t xml:space="preserve"> or </w:t>
      </w:r>
      <w:r w:rsidR="00B62BEC">
        <w:rPr>
          <w:sz w:val="24"/>
          <w:szCs w:val="24"/>
        </w:rPr>
        <w:t>mainland societies</w:t>
      </w:r>
      <w:r w:rsidR="00BC4855">
        <w:rPr>
          <w:sz w:val="24"/>
          <w:szCs w:val="24"/>
        </w:rPr>
        <w:t xml:space="preserve"> more or less exclusively</w:t>
      </w:r>
      <w:r w:rsidR="00B62BEC">
        <w:rPr>
          <w:sz w:val="24"/>
          <w:szCs w:val="24"/>
        </w:rPr>
        <w:t xml:space="preserve"> </w:t>
      </w:r>
      <w:r w:rsidR="00B62BEC">
        <w:rPr>
          <w:sz w:val="24"/>
          <w:szCs w:val="24"/>
        </w:rPr>
        <w:fldChar w:fldCharType="begin"/>
      </w:r>
      <w:r w:rsidR="00B62BEC">
        <w:rPr>
          <w:sz w:val="24"/>
          <w:szCs w:val="24"/>
        </w:rPr>
        <w:instrText xml:space="preserve"> ADDIN EN.CITE &lt;EndNote&gt;&lt;Cite&gt;&lt;Author&gt;Jackson&lt;/Author&gt;&lt;Year&gt;2022&lt;/Year&gt;&lt;RecNum&gt;1167&lt;/RecNum&gt;&lt;DisplayText&gt;(Jackson and Baumann 2022)&lt;/DisplayText&gt;&lt;record&gt;&lt;rec-number&gt;1167&lt;/rec-number&gt;&lt;foreign-keys&gt;&lt;key app="EN" db-id="ftdv5r9zs0rfs5e2dzmvted02wvettevee0p" timestamp="1693909187"&gt;1167&lt;/key&gt;&lt;/foreign-keys&gt;&lt;ref-type name="Edited Book"&gt;28&lt;/ref-type&gt;&lt;contributors&gt;&lt;authors&gt;&lt;author&gt;Jackson, Peter A.&lt;/author&gt;&lt;author&gt;Baumann, Benjamin&lt;/author&gt;&lt;/authors&gt;&lt;/contributors&gt;&lt;titles&gt;&lt;title&gt;Deities and Divas. Queer Ritual Specialists in Myanmar, Thailand and Beyond&lt;/title&gt;&lt;/titles&gt;&lt;dates&gt;&lt;year&gt;2022&lt;/year&gt;&lt;/dates&gt;&lt;pub-location&gt;Copenhagen&lt;/pub-location&gt;&lt;publisher&gt;NIAS&lt;/publisher&gt;&lt;urls&gt;&lt;/urls&gt;&lt;/record&gt;&lt;/Cite&gt;&lt;/EndNote&gt;</w:instrText>
      </w:r>
      <w:r w:rsidR="00B62BEC">
        <w:rPr>
          <w:sz w:val="24"/>
          <w:szCs w:val="24"/>
        </w:rPr>
        <w:fldChar w:fldCharType="separate"/>
      </w:r>
      <w:r w:rsidR="00B62BEC">
        <w:rPr>
          <w:noProof/>
          <w:sz w:val="24"/>
          <w:szCs w:val="24"/>
        </w:rPr>
        <w:t>(Jackson and Baumann 2022)</w:t>
      </w:r>
      <w:r w:rsidR="00B62BEC">
        <w:rPr>
          <w:sz w:val="24"/>
          <w:szCs w:val="24"/>
        </w:rPr>
        <w:fldChar w:fldCharType="end"/>
      </w:r>
      <w:r w:rsidR="00BC4855">
        <w:rPr>
          <w:sz w:val="24"/>
          <w:szCs w:val="24"/>
        </w:rPr>
        <w:t xml:space="preserve">. </w:t>
      </w:r>
      <w:r w:rsidR="00B62BEC">
        <w:rPr>
          <w:sz w:val="24"/>
          <w:szCs w:val="24"/>
        </w:rPr>
        <w:t>Th</w:t>
      </w:r>
      <w:r w:rsidR="00BC4855">
        <w:rPr>
          <w:sz w:val="24"/>
          <w:szCs w:val="24"/>
        </w:rPr>
        <w:t xml:space="preserve">is </w:t>
      </w:r>
      <w:r w:rsidR="00C61B9E">
        <w:rPr>
          <w:sz w:val="24"/>
          <w:szCs w:val="24"/>
        </w:rPr>
        <w:t xml:space="preserve">is </w:t>
      </w:r>
      <w:r w:rsidR="00BC4855">
        <w:rPr>
          <w:sz w:val="24"/>
          <w:szCs w:val="24"/>
        </w:rPr>
        <w:t>where the organizers see the potential</w:t>
      </w:r>
      <w:r w:rsidR="00880779">
        <w:rPr>
          <w:sz w:val="24"/>
          <w:szCs w:val="24"/>
        </w:rPr>
        <w:t>s</w:t>
      </w:r>
      <w:r w:rsidR="00BC4855">
        <w:rPr>
          <w:sz w:val="24"/>
          <w:szCs w:val="24"/>
        </w:rPr>
        <w:t xml:space="preserve"> </w:t>
      </w:r>
      <w:r w:rsidR="00880779">
        <w:rPr>
          <w:sz w:val="24"/>
          <w:szCs w:val="24"/>
        </w:rPr>
        <w:t>of</w:t>
      </w:r>
      <w:r w:rsidR="00BC4855">
        <w:rPr>
          <w:sz w:val="24"/>
          <w:szCs w:val="24"/>
        </w:rPr>
        <w:t xml:space="preserve"> an area studies approach to witchcraft in Southeast Asia. Area studies not only offer the advantage of bringing regional experts from various disciplinary backgrounds to the conversation, but the area concept as such offers a comparative perspective that </w:t>
      </w:r>
      <w:r w:rsidR="00B62BEC">
        <w:rPr>
          <w:sz w:val="24"/>
          <w:szCs w:val="24"/>
        </w:rPr>
        <w:t xml:space="preserve">crosses the insular/mainland divide that </w:t>
      </w:r>
      <w:r w:rsidR="00BC4855">
        <w:rPr>
          <w:sz w:val="24"/>
          <w:szCs w:val="24"/>
        </w:rPr>
        <w:lastRenderedPageBreak/>
        <w:t>anthropolo</w:t>
      </w:r>
      <w:r w:rsidR="00B62BEC">
        <w:rPr>
          <w:sz w:val="24"/>
          <w:szCs w:val="24"/>
        </w:rPr>
        <w:t>gical approaches</w:t>
      </w:r>
      <w:r w:rsidR="00BC4855">
        <w:rPr>
          <w:sz w:val="24"/>
          <w:szCs w:val="24"/>
        </w:rPr>
        <w:t xml:space="preserve"> often lack due to </w:t>
      </w:r>
      <w:r w:rsidR="00B62BEC">
        <w:rPr>
          <w:sz w:val="24"/>
          <w:szCs w:val="24"/>
        </w:rPr>
        <w:t>their</w:t>
      </w:r>
      <w:r w:rsidR="00BC4855">
        <w:rPr>
          <w:sz w:val="24"/>
          <w:szCs w:val="24"/>
        </w:rPr>
        <w:t xml:space="preserve"> </w:t>
      </w:r>
      <w:r w:rsidR="00880779">
        <w:rPr>
          <w:sz w:val="24"/>
          <w:szCs w:val="24"/>
        </w:rPr>
        <w:t>focus</w:t>
      </w:r>
      <w:r w:rsidR="00BC4855">
        <w:rPr>
          <w:sz w:val="24"/>
          <w:szCs w:val="24"/>
        </w:rPr>
        <w:t xml:space="preserve"> o</w:t>
      </w:r>
      <w:r w:rsidR="00B62BEC">
        <w:rPr>
          <w:sz w:val="24"/>
          <w:szCs w:val="24"/>
        </w:rPr>
        <w:t>n</w:t>
      </w:r>
      <w:r w:rsidR="00BC4855">
        <w:rPr>
          <w:sz w:val="24"/>
          <w:szCs w:val="24"/>
        </w:rPr>
        <w:t xml:space="preserve"> specific localities.</w:t>
      </w:r>
      <w:r w:rsidR="00B92117">
        <w:rPr>
          <w:sz w:val="24"/>
          <w:szCs w:val="24"/>
        </w:rPr>
        <w:t xml:space="preserve"> While </w:t>
      </w:r>
      <w:r w:rsidR="00C61B9E">
        <w:rPr>
          <w:sz w:val="24"/>
          <w:szCs w:val="24"/>
        </w:rPr>
        <w:t>the organizers</w:t>
      </w:r>
      <w:r w:rsidR="00B92117">
        <w:rPr>
          <w:sz w:val="24"/>
          <w:szCs w:val="24"/>
        </w:rPr>
        <w:t xml:space="preserve"> explicitly </w:t>
      </w:r>
      <w:r w:rsidR="00B62BEC">
        <w:rPr>
          <w:sz w:val="24"/>
          <w:szCs w:val="24"/>
        </w:rPr>
        <w:t>acknowledge</w:t>
      </w:r>
      <w:r w:rsidR="00B92117">
        <w:rPr>
          <w:sz w:val="24"/>
          <w:szCs w:val="24"/>
        </w:rPr>
        <w:t xml:space="preserve"> the need to pay attention to th</w:t>
      </w:r>
      <w:r w:rsidR="00B62BEC">
        <w:rPr>
          <w:sz w:val="24"/>
          <w:szCs w:val="24"/>
        </w:rPr>
        <w:t>is</w:t>
      </w:r>
      <w:r w:rsidR="00B92117">
        <w:rPr>
          <w:sz w:val="24"/>
          <w:szCs w:val="24"/>
        </w:rPr>
        <w:t xml:space="preserve"> localization of knowledge in order to understand witchcraft-related phenomena, </w:t>
      </w:r>
      <w:r w:rsidR="00C61B9E">
        <w:rPr>
          <w:sz w:val="24"/>
          <w:szCs w:val="24"/>
        </w:rPr>
        <w:t>they</w:t>
      </w:r>
      <w:r w:rsidR="00B92117">
        <w:rPr>
          <w:sz w:val="24"/>
          <w:szCs w:val="24"/>
        </w:rPr>
        <w:t xml:space="preserve"> nevertheless think that a comparative perspective and an exchange between regional expertise</w:t>
      </w:r>
      <w:r w:rsidR="00B62BEC">
        <w:rPr>
          <w:sz w:val="24"/>
          <w:szCs w:val="24"/>
        </w:rPr>
        <w:t xml:space="preserve"> from insular and mainland </w:t>
      </w:r>
      <w:r w:rsidR="00880779">
        <w:rPr>
          <w:sz w:val="24"/>
          <w:szCs w:val="24"/>
        </w:rPr>
        <w:t>Southeast Asia</w:t>
      </w:r>
      <w:r w:rsidR="00B92117">
        <w:rPr>
          <w:sz w:val="24"/>
          <w:szCs w:val="24"/>
        </w:rPr>
        <w:t xml:space="preserve"> will open up new vantage points to understand localized practices. We see this laboratory as a first step in bringing together regional experts who have worked on witchcraft-related practices in the past to discuss potential fields for cooperation</w:t>
      </w:r>
      <w:r w:rsidR="00C61B9E">
        <w:rPr>
          <w:sz w:val="24"/>
          <w:szCs w:val="24"/>
        </w:rPr>
        <w:t xml:space="preserve"> in the future</w:t>
      </w:r>
      <w:r w:rsidR="00B62BEC">
        <w:rPr>
          <w:sz w:val="24"/>
          <w:szCs w:val="24"/>
        </w:rPr>
        <w:t xml:space="preserve"> that bridges the insular/mainland divide</w:t>
      </w:r>
      <w:r w:rsidR="00B92117">
        <w:rPr>
          <w:sz w:val="24"/>
          <w:szCs w:val="24"/>
        </w:rPr>
        <w:t xml:space="preserve">. The anthropology of witchcraft in Southeast Asia may greatly benefit from a transdisciplinary </w:t>
      </w:r>
      <w:r w:rsidR="00322BD2">
        <w:rPr>
          <w:sz w:val="24"/>
          <w:szCs w:val="24"/>
        </w:rPr>
        <w:t xml:space="preserve">area studies </w:t>
      </w:r>
      <w:r w:rsidR="00B92117">
        <w:rPr>
          <w:sz w:val="24"/>
          <w:szCs w:val="24"/>
        </w:rPr>
        <w:t xml:space="preserve">dialogue in laboratory form to explore ways of how to move collaborative research in this fascinating field into a </w:t>
      </w:r>
      <w:r w:rsidR="00322BD2">
        <w:rPr>
          <w:sz w:val="24"/>
          <w:szCs w:val="24"/>
        </w:rPr>
        <w:t xml:space="preserve">more </w:t>
      </w:r>
      <w:r w:rsidR="00B92117">
        <w:rPr>
          <w:sz w:val="24"/>
          <w:szCs w:val="24"/>
        </w:rPr>
        <w:t>productive future.</w:t>
      </w:r>
      <w:r w:rsidR="00AE6E0B">
        <w:rPr>
          <w:sz w:val="24"/>
          <w:szCs w:val="24"/>
        </w:rPr>
        <w:t xml:space="preserve"> The central question that will guide this laboratory is the question whether there are ‘witches’ in Southeast Asia or whether the application of the term</w:t>
      </w:r>
      <w:r w:rsidR="00AB68A6">
        <w:rPr>
          <w:sz w:val="24"/>
          <w:szCs w:val="24"/>
        </w:rPr>
        <w:t>s</w:t>
      </w:r>
      <w:r w:rsidR="00AE6E0B">
        <w:rPr>
          <w:sz w:val="24"/>
          <w:szCs w:val="24"/>
        </w:rPr>
        <w:t xml:space="preserve"> ‘witch’</w:t>
      </w:r>
      <w:r w:rsidR="00AB68A6">
        <w:rPr>
          <w:sz w:val="24"/>
          <w:szCs w:val="24"/>
        </w:rPr>
        <w:t xml:space="preserve"> and witchcraft</w:t>
      </w:r>
      <w:r w:rsidR="00AE6E0B">
        <w:rPr>
          <w:sz w:val="24"/>
          <w:szCs w:val="24"/>
        </w:rPr>
        <w:t xml:space="preserve"> in Southeast Asian contexts </w:t>
      </w:r>
      <w:r w:rsidR="00AB68A6">
        <w:rPr>
          <w:sz w:val="24"/>
          <w:szCs w:val="24"/>
        </w:rPr>
        <w:t>are</w:t>
      </w:r>
      <w:r w:rsidR="00AE6E0B">
        <w:rPr>
          <w:sz w:val="24"/>
          <w:szCs w:val="24"/>
        </w:rPr>
        <w:t xml:space="preserve"> category mistake</w:t>
      </w:r>
      <w:r w:rsidR="00AB68A6">
        <w:rPr>
          <w:sz w:val="24"/>
          <w:szCs w:val="24"/>
        </w:rPr>
        <w:t>s</w:t>
      </w:r>
      <w:r w:rsidR="00880779">
        <w:rPr>
          <w:sz w:val="24"/>
          <w:szCs w:val="24"/>
        </w:rPr>
        <w:t xml:space="preserve"> in Ryle’s sense</w:t>
      </w:r>
      <w:r w:rsidR="00AE6E0B">
        <w:rPr>
          <w:sz w:val="24"/>
          <w:szCs w:val="24"/>
        </w:rPr>
        <w:t>.</w:t>
      </w:r>
      <w:r w:rsidR="00B92117">
        <w:rPr>
          <w:sz w:val="24"/>
          <w:szCs w:val="24"/>
        </w:rPr>
        <w:t xml:space="preserve">   </w:t>
      </w:r>
      <w:r>
        <w:rPr>
          <w:sz w:val="24"/>
          <w:szCs w:val="24"/>
        </w:rPr>
        <w:t xml:space="preserve"> </w:t>
      </w:r>
    </w:p>
    <w:p w14:paraId="549533CF" w14:textId="33910A62" w:rsidR="00CF56AE" w:rsidRPr="00AD38C9" w:rsidRDefault="00AD38C9">
      <w:pPr>
        <w:rPr>
          <w:b/>
          <w:bCs/>
          <w:sz w:val="24"/>
          <w:szCs w:val="24"/>
        </w:rPr>
      </w:pPr>
      <w:r w:rsidRPr="00AD38C9">
        <w:rPr>
          <w:b/>
          <w:bCs/>
          <w:sz w:val="24"/>
          <w:szCs w:val="24"/>
        </w:rPr>
        <w:t>Format</w:t>
      </w:r>
      <w:r w:rsidR="00664B4D" w:rsidRPr="00AD38C9">
        <w:rPr>
          <w:b/>
          <w:bCs/>
          <w:sz w:val="24"/>
          <w:szCs w:val="24"/>
        </w:rPr>
        <w:t xml:space="preserve">   </w:t>
      </w:r>
    </w:p>
    <w:p w14:paraId="2B2332EC" w14:textId="5F2901F4" w:rsidR="005E3089" w:rsidRDefault="00A903DF">
      <w:pPr>
        <w:rPr>
          <w:sz w:val="24"/>
          <w:szCs w:val="24"/>
        </w:rPr>
      </w:pPr>
      <w:r>
        <w:rPr>
          <w:sz w:val="24"/>
          <w:szCs w:val="24"/>
        </w:rPr>
        <w:t xml:space="preserve">This laboratory will </w:t>
      </w:r>
      <w:r w:rsidR="0073268F">
        <w:rPr>
          <w:sz w:val="24"/>
          <w:szCs w:val="24"/>
        </w:rPr>
        <w:t xml:space="preserve">establish a dialogue between </w:t>
      </w:r>
      <w:r>
        <w:rPr>
          <w:sz w:val="24"/>
          <w:szCs w:val="24"/>
        </w:rPr>
        <w:t xml:space="preserve">scholars of religion, </w:t>
      </w:r>
      <w:r w:rsidR="00B62BEC">
        <w:rPr>
          <w:sz w:val="24"/>
          <w:szCs w:val="24"/>
        </w:rPr>
        <w:t xml:space="preserve">politics, </w:t>
      </w:r>
      <w:r>
        <w:rPr>
          <w:sz w:val="24"/>
          <w:szCs w:val="24"/>
        </w:rPr>
        <w:t>anthropology</w:t>
      </w:r>
      <w:r w:rsidR="00F04A50">
        <w:rPr>
          <w:sz w:val="24"/>
          <w:szCs w:val="24"/>
        </w:rPr>
        <w:t>, history,</w:t>
      </w:r>
      <w:r>
        <w:rPr>
          <w:sz w:val="24"/>
          <w:szCs w:val="24"/>
        </w:rPr>
        <w:t xml:space="preserve"> sociology</w:t>
      </w:r>
      <w:r w:rsidR="00F04A50">
        <w:rPr>
          <w:sz w:val="24"/>
          <w:szCs w:val="24"/>
        </w:rPr>
        <w:t xml:space="preserve"> and art</w:t>
      </w:r>
      <w:r w:rsidR="00BA0960">
        <w:rPr>
          <w:sz w:val="24"/>
          <w:szCs w:val="24"/>
        </w:rPr>
        <w:t xml:space="preserve"> who research contrasting domains, fields and dynamics of social power and religiosity in contemporary Southeast Asia. By thinking comparatively </w:t>
      </w:r>
      <w:r w:rsidR="003A1A4D">
        <w:rPr>
          <w:sz w:val="24"/>
          <w:szCs w:val="24"/>
        </w:rPr>
        <w:t xml:space="preserve">both </w:t>
      </w:r>
      <w:r w:rsidR="00BA0960">
        <w:rPr>
          <w:sz w:val="24"/>
          <w:szCs w:val="24"/>
        </w:rPr>
        <w:t xml:space="preserve">within </w:t>
      </w:r>
      <w:r w:rsidR="00C61B9E">
        <w:rPr>
          <w:sz w:val="24"/>
          <w:szCs w:val="24"/>
        </w:rPr>
        <w:t>local</w:t>
      </w:r>
      <w:r w:rsidR="00BA0960">
        <w:rPr>
          <w:sz w:val="24"/>
          <w:szCs w:val="24"/>
        </w:rPr>
        <w:t xml:space="preserve"> settings and across the </w:t>
      </w:r>
      <w:r w:rsidR="00C61B9E">
        <w:rPr>
          <w:sz w:val="24"/>
          <w:szCs w:val="24"/>
        </w:rPr>
        <w:t>entire</w:t>
      </w:r>
      <w:r w:rsidR="00BA0960">
        <w:rPr>
          <w:sz w:val="24"/>
          <w:szCs w:val="24"/>
        </w:rPr>
        <w:t xml:space="preserve"> region, the laboratory seeks to develop a more robust, critical and nuanced conceptual and analytic vocabulary through which to advance the comparative study of </w:t>
      </w:r>
      <w:r w:rsidR="00C61B9E">
        <w:rPr>
          <w:sz w:val="24"/>
          <w:szCs w:val="24"/>
        </w:rPr>
        <w:t>witchcraft and related social phenomena</w:t>
      </w:r>
      <w:r w:rsidR="00BA0960">
        <w:rPr>
          <w:sz w:val="24"/>
          <w:szCs w:val="24"/>
        </w:rPr>
        <w:t xml:space="preserve"> in Southeast Asi</w:t>
      </w:r>
      <w:r w:rsidR="00C61B9E">
        <w:rPr>
          <w:sz w:val="24"/>
          <w:szCs w:val="24"/>
        </w:rPr>
        <w:t>a</w:t>
      </w:r>
      <w:r w:rsidR="00BA0960">
        <w:rPr>
          <w:sz w:val="24"/>
          <w:szCs w:val="24"/>
        </w:rPr>
        <w:t>.</w:t>
      </w:r>
      <w:r w:rsidR="0073268F">
        <w:rPr>
          <w:sz w:val="24"/>
          <w:szCs w:val="24"/>
        </w:rPr>
        <w:t xml:space="preserve"> </w:t>
      </w:r>
    </w:p>
    <w:p w14:paraId="00654D0C" w14:textId="15DED2B1" w:rsidR="005E3089" w:rsidRDefault="003A09AC">
      <w:pPr>
        <w:rPr>
          <w:sz w:val="24"/>
          <w:szCs w:val="24"/>
        </w:rPr>
      </w:pPr>
      <w:r>
        <w:rPr>
          <w:sz w:val="24"/>
          <w:szCs w:val="24"/>
        </w:rPr>
        <w:t>Our</w:t>
      </w:r>
      <w:r w:rsidR="0073268F">
        <w:rPr>
          <w:sz w:val="24"/>
          <w:szCs w:val="24"/>
        </w:rPr>
        <w:t xml:space="preserve"> format </w:t>
      </w:r>
      <w:r w:rsidR="009A14FD">
        <w:rPr>
          <w:sz w:val="24"/>
          <w:szCs w:val="24"/>
        </w:rPr>
        <w:t>does</w:t>
      </w:r>
      <w:r w:rsidR="00C61B9E">
        <w:rPr>
          <w:sz w:val="24"/>
          <w:szCs w:val="24"/>
        </w:rPr>
        <w:t xml:space="preserve"> not</w:t>
      </w:r>
      <w:r w:rsidR="009A14FD">
        <w:rPr>
          <w:sz w:val="24"/>
          <w:szCs w:val="24"/>
        </w:rPr>
        <w:t xml:space="preserve"> req</w:t>
      </w:r>
      <w:r w:rsidR="005E3089">
        <w:rPr>
          <w:sz w:val="24"/>
          <w:szCs w:val="24"/>
        </w:rPr>
        <w:t>uire</w:t>
      </w:r>
      <w:r w:rsidR="009A14FD">
        <w:rPr>
          <w:sz w:val="24"/>
          <w:szCs w:val="24"/>
        </w:rPr>
        <w:t xml:space="preserve"> participants to write full-fledged papers</w:t>
      </w:r>
      <w:r>
        <w:rPr>
          <w:sz w:val="24"/>
          <w:szCs w:val="24"/>
        </w:rPr>
        <w:t xml:space="preserve"> in advance</w:t>
      </w:r>
      <w:r w:rsidR="009A14FD">
        <w:rPr>
          <w:sz w:val="24"/>
          <w:szCs w:val="24"/>
        </w:rPr>
        <w:t xml:space="preserve"> but rather short </w:t>
      </w:r>
      <w:r w:rsidR="005E3089">
        <w:rPr>
          <w:sz w:val="24"/>
          <w:szCs w:val="24"/>
        </w:rPr>
        <w:t>position papers</w:t>
      </w:r>
      <w:r w:rsidR="009A14FD">
        <w:rPr>
          <w:sz w:val="24"/>
          <w:szCs w:val="24"/>
        </w:rPr>
        <w:t xml:space="preserve"> of 800 words</w:t>
      </w:r>
      <w:r>
        <w:rPr>
          <w:sz w:val="24"/>
          <w:szCs w:val="24"/>
        </w:rPr>
        <w:t>,</w:t>
      </w:r>
      <w:r w:rsidR="009A14FD">
        <w:rPr>
          <w:sz w:val="24"/>
          <w:szCs w:val="24"/>
        </w:rPr>
        <w:t xml:space="preserve"> summarizing their main responses to the laboratory’s theme </w:t>
      </w:r>
      <w:r>
        <w:rPr>
          <w:sz w:val="24"/>
          <w:szCs w:val="24"/>
        </w:rPr>
        <w:t>relating to</w:t>
      </w:r>
      <w:r w:rsidR="009A14FD">
        <w:rPr>
          <w:sz w:val="24"/>
          <w:szCs w:val="24"/>
        </w:rPr>
        <w:t xml:space="preserve"> their own </w:t>
      </w:r>
      <w:r w:rsidR="00C61B9E">
        <w:rPr>
          <w:sz w:val="24"/>
          <w:szCs w:val="24"/>
        </w:rPr>
        <w:t xml:space="preserve">empirical </w:t>
      </w:r>
      <w:r w:rsidR="009A14FD">
        <w:rPr>
          <w:sz w:val="24"/>
          <w:szCs w:val="24"/>
        </w:rPr>
        <w:t xml:space="preserve">work. These </w:t>
      </w:r>
      <w:r w:rsidR="007E30FE">
        <w:rPr>
          <w:sz w:val="24"/>
          <w:szCs w:val="24"/>
        </w:rPr>
        <w:t>position papers</w:t>
      </w:r>
      <w:r w:rsidR="009A14FD">
        <w:rPr>
          <w:sz w:val="24"/>
          <w:szCs w:val="24"/>
        </w:rPr>
        <w:t xml:space="preserve"> will be </w:t>
      </w:r>
      <w:r w:rsidR="002B52C3">
        <w:rPr>
          <w:sz w:val="24"/>
          <w:szCs w:val="24"/>
        </w:rPr>
        <w:t xml:space="preserve">distributed in advance and collectively </w:t>
      </w:r>
      <w:r w:rsidR="009A14FD">
        <w:rPr>
          <w:sz w:val="24"/>
          <w:szCs w:val="24"/>
        </w:rPr>
        <w:t xml:space="preserve">discussed </w:t>
      </w:r>
      <w:r w:rsidR="002B52C3">
        <w:rPr>
          <w:sz w:val="24"/>
          <w:szCs w:val="24"/>
        </w:rPr>
        <w:t>at the beginning of the laboratory, serving as a shared point of reference for the subsequent open-ended conversation</w:t>
      </w:r>
      <w:r w:rsidR="009A14FD">
        <w:rPr>
          <w:sz w:val="24"/>
          <w:szCs w:val="24"/>
        </w:rPr>
        <w:t xml:space="preserve">. </w:t>
      </w:r>
    </w:p>
    <w:p w14:paraId="544872BB" w14:textId="23BFCDAF" w:rsidR="00BC4855" w:rsidRDefault="00AD38C9">
      <w:pPr>
        <w:rPr>
          <w:b/>
          <w:bCs/>
          <w:sz w:val="24"/>
          <w:szCs w:val="24"/>
        </w:rPr>
      </w:pPr>
      <w:r w:rsidRPr="00AD38C9">
        <w:rPr>
          <w:b/>
          <w:bCs/>
          <w:sz w:val="24"/>
          <w:szCs w:val="24"/>
        </w:rPr>
        <w:t>Application</w:t>
      </w:r>
    </w:p>
    <w:p w14:paraId="10426514" w14:textId="14257E7B" w:rsidR="00AD38C9" w:rsidRPr="00AD38C9" w:rsidRDefault="00AD38C9">
      <w:pPr>
        <w:rPr>
          <w:sz w:val="24"/>
          <w:szCs w:val="24"/>
        </w:rPr>
      </w:pPr>
      <w:r>
        <w:rPr>
          <w:sz w:val="24"/>
          <w:szCs w:val="24"/>
        </w:rPr>
        <w:t xml:space="preserve">In this semi-open laboratory we invite contributions by scholars who have conducted empirical research on magic and witchcraft-related topics or reflected theoretically </w:t>
      </w:r>
      <w:r w:rsidR="00E45EE0">
        <w:rPr>
          <w:sz w:val="24"/>
          <w:szCs w:val="24"/>
        </w:rPr>
        <w:t>on these issues. Please send us a short motivational note in which you detail what you would like to address during the laboratory and what you expect from the format.</w:t>
      </w:r>
    </w:p>
    <w:p w14:paraId="424B558A" w14:textId="77777777" w:rsidR="00BC4855" w:rsidRDefault="00BC4855">
      <w:pPr>
        <w:rPr>
          <w:sz w:val="24"/>
          <w:szCs w:val="24"/>
        </w:rPr>
      </w:pPr>
    </w:p>
    <w:p w14:paraId="66E0D021" w14:textId="77777777" w:rsidR="00B62BEC" w:rsidRPr="00B62BEC" w:rsidRDefault="00BC4855" w:rsidP="00B62BEC">
      <w:pPr>
        <w:pStyle w:val="EndNoteBibliographyTitle"/>
        <w:rPr>
          <w:b/>
          <w:noProof/>
          <w:sz w:val="24"/>
        </w:rPr>
      </w:pPr>
      <w:r>
        <w:fldChar w:fldCharType="begin"/>
      </w:r>
      <w:r>
        <w:instrText xml:space="preserve"> ADDIN EN.REFLIST </w:instrText>
      </w:r>
      <w:r>
        <w:fldChar w:fldCharType="separate"/>
      </w:r>
      <w:r w:rsidR="00B62BEC" w:rsidRPr="00B62BEC">
        <w:rPr>
          <w:b/>
          <w:noProof/>
          <w:sz w:val="24"/>
        </w:rPr>
        <w:t>Bibliography</w:t>
      </w:r>
    </w:p>
    <w:p w14:paraId="05E9B968" w14:textId="77777777" w:rsidR="00B62BEC" w:rsidRPr="00B62BEC" w:rsidRDefault="00B62BEC" w:rsidP="00B62BEC">
      <w:pPr>
        <w:pStyle w:val="EndNoteBibliographyTitle"/>
        <w:rPr>
          <w:b/>
          <w:noProof/>
          <w:sz w:val="24"/>
        </w:rPr>
      </w:pPr>
    </w:p>
    <w:p w14:paraId="18A748BC" w14:textId="77777777" w:rsidR="00B62BEC" w:rsidRPr="00B62BEC" w:rsidRDefault="00B62BEC" w:rsidP="00B62BEC">
      <w:pPr>
        <w:pStyle w:val="EndNoteBibliography"/>
        <w:spacing w:after="0"/>
        <w:ind w:left="720" w:hanging="720"/>
        <w:rPr>
          <w:noProof/>
        </w:rPr>
      </w:pPr>
      <w:r w:rsidRPr="00B62BEC">
        <w:rPr>
          <w:noProof/>
        </w:rPr>
        <w:lastRenderedPageBreak/>
        <w:t xml:space="preserve">Bubandt, Nils. 2014. </w:t>
      </w:r>
      <w:r w:rsidRPr="00B62BEC">
        <w:rPr>
          <w:i/>
          <w:noProof/>
        </w:rPr>
        <w:t>The Empty Seashell. Witchcraft and Doubt on an Indonesian Island</w:t>
      </w:r>
      <w:r w:rsidRPr="00B62BEC">
        <w:rPr>
          <w:noProof/>
        </w:rPr>
        <w:t>. Cornell: Cornell University Press.</w:t>
      </w:r>
    </w:p>
    <w:p w14:paraId="1D694AEF" w14:textId="77777777" w:rsidR="00B62BEC" w:rsidRPr="00B62BEC" w:rsidRDefault="00B62BEC" w:rsidP="00B62BEC">
      <w:pPr>
        <w:pStyle w:val="EndNoteBibliography"/>
        <w:spacing w:after="0"/>
        <w:ind w:left="720" w:hanging="720"/>
        <w:rPr>
          <w:noProof/>
        </w:rPr>
      </w:pPr>
      <w:r w:rsidRPr="00B62BEC">
        <w:rPr>
          <w:noProof/>
        </w:rPr>
        <w:t xml:space="preserve">Jackson, Peter A. 2022. </w:t>
      </w:r>
      <w:r w:rsidRPr="00B62BEC">
        <w:rPr>
          <w:i/>
          <w:noProof/>
        </w:rPr>
        <w:t>Capitalism Magic Thailand: Modernity with Enchantment</w:t>
      </w:r>
      <w:r w:rsidRPr="00B62BEC">
        <w:rPr>
          <w:noProof/>
        </w:rPr>
        <w:t>. Singapore: ISEAS.</w:t>
      </w:r>
    </w:p>
    <w:p w14:paraId="4EEA2CDB" w14:textId="77777777" w:rsidR="00B62BEC" w:rsidRPr="00B62BEC" w:rsidRDefault="00B62BEC" w:rsidP="00B62BEC">
      <w:pPr>
        <w:pStyle w:val="EndNoteBibliography"/>
        <w:spacing w:after="0"/>
        <w:ind w:left="720" w:hanging="720"/>
        <w:rPr>
          <w:noProof/>
        </w:rPr>
      </w:pPr>
      <w:r w:rsidRPr="00B62BEC">
        <w:rPr>
          <w:noProof/>
        </w:rPr>
        <w:t xml:space="preserve">Jackson, Peter A., and Benjamin Baumann, eds. 2022. </w:t>
      </w:r>
      <w:r w:rsidRPr="00B62BEC">
        <w:rPr>
          <w:i/>
          <w:noProof/>
        </w:rPr>
        <w:t>Deities and Divas. Queer Ritual Specialists in Myanmar, Thailand and Beyond</w:t>
      </w:r>
      <w:r w:rsidRPr="00B62BEC">
        <w:rPr>
          <w:noProof/>
        </w:rPr>
        <w:t>. Copenhagen: NIAS.</w:t>
      </w:r>
    </w:p>
    <w:p w14:paraId="6C87FB95" w14:textId="77777777" w:rsidR="00B62BEC" w:rsidRPr="00B62BEC" w:rsidRDefault="00B62BEC" w:rsidP="00B62BEC">
      <w:pPr>
        <w:pStyle w:val="EndNoteBibliography"/>
        <w:spacing w:after="0"/>
        <w:ind w:left="720" w:hanging="720"/>
        <w:rPr>
          <w:noProof/>
        </w:rPr>
      </w:pPr>
      <w:r w:rsidRPr="00B62BEC">
        <w:rPr>
          <w:noProof/>
        </w:rPr>
        <w:t xml:space="preserve">Siegel, James. 2006. </w:t>
      </w:r>
      <w:r w:rsidRPr="00B62BEC">
        <w:rPr>
          <w:i/>
          <w:noProof/>
        </w:rPr>
        <w:t>Naming the Witch</w:t>
      </w:r>
      <w:r w:rsidRPr="00B62BEC">
        <w:rPr>
          <w:noProof/>
        </w:rPr>
        <w:t>. Stanford, CA: Stanford University Press.</w:t>
      </w:r>
    </w:p>
    <w:p w14:paraId="6F3FD59C" w14:textId="77777777" w:rsidR="00B62BEC" w:rsidRPr="00B62BEC" w:rsidRDefault="00B62BEC" w:rsidP="00B62BEC">
      <w:pPr>
        <w:pStyle w:val="EndNoteBibliography"/>
        <w:ind w:left="720" w:hanging="720"/>
        <w:rPr>
          <w:noProof/>
        </w:rPr>
      </w:pPr>
      <w:r w:rsidRPr="00B62BEC">
        <w:rPr>
          <w:noProof/>
        </w:rPr>
        <w:t xml:space="preserve">Watson, C.W., and Roy Ellen, eds. 1993. </w:t>
      </w:r>
      <w:r w:rsidRPr="00B62BEC">
        <w:rPr>
          <w:i/>
          <w:noProof/>
        </w:rPr>
        <w:t>Understanding Witchcraft and Sorcery in Southeast Asia</w:t>
      </w:r>
      <w:r w:rsidRPr="00B62BEC">
        <w:rPr>
          <w:noProof/>
        </w:rPr>
        <w:t>. Honolulu: University of Hawaii Press.</w:t>
      </w:r>
    </w:p>
    <w:p w14:paraId="038742F3" w14:textId="108C3E54" w:rsidR="005905CB" w:rsidRPr="00484204" w:rsidRDefault="00BC4855">
      <w:pPr>
        <w:rPr>
          <w:sz w:val="24"/>
          <w:szCs w:val="24"/>
        </w:rPr>
      </w:pPr>
      <w:r>
        <w:rPr>
          <w:sz w:val="24"/>
          <w:szCs w:val="24"/>
        </w:rPr>
        <w:fldChar w:fldCharType="end"/>
      </w:r>
    </w:p>
    <w:sectPr w:rsidR="005905CB" w:rsidRPr="00484204" w:rsidSect="00875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_HAU&lt;/Style&gt;&lt;LeftDelim&gt;{&lt;/LeftDelim&gt;&lt;RightDelim&gt;}&lt;/RightDelim&gt;&lt;FontName&gt;Calibri&lt;/FontName&gt;&lt;FontSize&gt;11&lt;/FontSize&gt;&lt;ReflistTitle&gt;&lt;style face=&quot;bold&quot; size=&quot;12&quot;&gt;Bibliography&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tdv5r9zs0rfs5e2dzmvted02wvettevee0p&quot;&gt;Aktuell-Converted&lt;record-ids&gt;&lt;item&gt;272&lt;/item&gt;&lt;item&gt;1167&lt;/item&gt;&lt;item&gt;1177&lt;/item&gt;&lt;item&gt;1178&lt;/item&gt;&lt;item&gt;1179&lt;/item&gt;&lt;/record-ids&gt;&lt;/item&gt;&lt;/Libraries&gt;"/>
  </w:docVars>
  <w:rsids>
    <w:rsidRoot w:val="005905CB"/>
    <w:rsid w:val="00000619"/>
    <w:rsid w:val="00075220"/>
    <w:rsid w:val="000B2856"/>
    <w:rsid w:val="001537CF"/>
    <w:rsid w:val="00156869"/>
    <w:rsid w:val="00164FBC"/>
    <w:rsid w:val="00195FA2"/>
    <w:rsid w:val="002A49DB"/>
    <w:rsid w:val="002B4FB1"/>
    <w:rsid w:val="002B52C3"/>
    <w:rsid w:val="00301ED8"/>
    <w:rsid w:val="00322BD2"/>
    <w:rsid w:val="003A09AC"/>
    <w:rsid w:val="003A0B43"/>
    <w:rsid w:val="003A1A4D"/>
    <w:rsid w:val="003A2429"/>
    <w:rsid w:val="003C741B"/>
    <w:rsid w:val="003D25E2"/>
    <w:rsid w:val="003D7D2C"/>
    <w:rsid w:val="00484204"/>
    <w:rsid w:val="005066C2"/>
    <w:rsid w:val="00556CBB"/>
    <w:rsid w:val="00561155"/>
    <w:rsid w:val="005905CB"/>
    <w:rsid w:val="005E3089"/>
    <w:rsid w:val="005F3D0F"/>
    <w:rsid w:val="00664B4D"/>
    <w:rsid w:val="00681ABB"/>
    <w:rsid w:val="0073268F"/>
    <w:rsid w:val="007A6F3A"/>
    <w:rsid w:val="007E30FE"/>
    <w:rsid w:val="00874293"/>
    <w:rsid w:val="0087588D"/>
    <w:rsid w:val="00880779"/>
    <w:rsid w:val="00895EA5"/>
    <w:rsid w:val="009A14FD"/>
    <w:rsid w:val="009A7AC6"/>
    <w:rsid w:val="009D1936"/>
    <w:rsid w:val="00A903DF"/>
    <w:rsid w:val="00AA3543"/>
    <w:rsid w:val="00AB68A6"/>
    <w:rsid w:val="00AD38C9"/>
    <w:rsid w:val="00AE6E0B"/>
    <w:rsid w:val="00B16C2E"/>
    <w:rsid w:val="00B2531F"/>
    <w:rsid w:val="00B62BEC"/>
    <w:rsid w:val="00B714BC"/>
    <w:rsid w:val="00B92117"/>
    <w:rsid w:val="00BA0960"/>
    <w:rsid w:val="00BB193D"/>
    <w:rsid w:val="00BC4855"/>
    <w:rsid w:val="00C26836"/>
    <w:rsid w:val="00C61B9E"/>
    <w:rsid w:val="00CB6331"/>
    <w:rsid w:val="00CF56AE"/>
    <w:rsid w:val="00D10D45"/>
    <w:rsid w:val="00DE3055"/>
    <w:rsid w:val="00E45EE0"/>
    <w:rsid w:val="00E51633"/>
    <w:rsid w:val="00F04A50"/>
    <w:rsid w:val="00F11DB0"/>
    <w:rsid w:val="00F53CA9"/>
    <w:rsid w:val="00F645BF"/>
    <w:rsid w:val="00F77202"/>
    <w:rsid w:val="00F820F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4D2C"/>
  <w15:docId w15:val="{0F3279CE-6CA9-4D04-8B27-C0DC766A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6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26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30FE"/>
    <w:rPr>
      <w:sz w:val="16"/>
      <w:szCs w:val="16"/>
    </w:rPr>
  </w:style>
  <w:style w:type="paragraph" w:styleId="CommentText">
    <w:name w:val="annotation text"/>
    <w:basedOn w:val="Normal"/>
    <w:link w:val="CommentTextChar"/>
    <w:uiPriority w:val="99"/>
    <w:semiHidden/>
    <w:unhideWhenUsed/>
    <w:rsid w:val="007E30FE"/>
    <w:pPr>
      <w:spacing w:line="240" w:lineRule="auto"/>
    </w:pPr>
    <w:rPr>
      <w:sz w:val="20"/>
      <w:szCs w:val="20"/>
    </w:rPr>
  </w:style>
  <w:style w:type="character" w:customStyle="1" w:styleId="CommentTextChar">
    <w:name w:val="Comment Text Char"/>
    <w:basedOn w:val="DefaultParagraphFont"/>
    <w:link w:val="CommentText"/>
    <w:uiPriority w:val="99"/>
    <w:semiHidden/>
    <w:rsid w:val="007E30FE"/>
    <w:rPr>
      <w:sz w:val="20"/>
      <w:szCs w:val="20"/>
    </w:rPr>
  </w:style>
  <w:style w:type="paragraph" w:styleId="CommentSubject">
    <w:name w:val="annotation subject"/>
    <w:basedOn w:val="CommentText"/>
    <w:next w:val="CommentText"/>
    <w:link w:val="CommentSubjectChar"/>
    <w:uiPriority w:val="99"/>
    <w:semiHidden/>
    <w:unhideWhenUsed/>
    <w:rsid w:val="007E30FE"/>
    <w:rPr>
      <w:b/>
      <w:bCs/>
    </w:rPr>
  </w:style>
  <w:style w:type="character" w:customStyle="1" w:styleId="CommentSubjectChar">
    <w:name w:val="Comment Subject Char"/>
    <w:basedOn w:val="CommentTextChar"/>
    <w:link w:val="CommentSubject"/>
    <w:uiPriority w:val="99"/>
    <w:semiHidden/>
    <w:rsid w:val="007E30FE"/>
    <w:rPr>
      <w:b/>
      <w:bCs/>
      <w:sz w:val="20"/>
      <w:szCs w:val="20"/>
    </w:rPr>
  </w:style>
  <w:style w:type="paragraph" w:customStyle="1" w:styleId="EndNoteBibliographyTitle">
    <w:name w:val="EndNote Bibliography Title"/>
    <w:basedOn w:val="Normal"/>
    <w:link w:val="EndNoteBibliographyTitleZchn"/>
    <w:rsid w:val="00BC4855"/>
    <w:pPr>
      <w:spacing w:after="0"/>
      <w:jc w:val="center"/>
    </w:pPr>
    <w:rPr>
      <w:rFonts w:ascii="Calibri" w:hAnsi="Calibri" w:cs="Calibri"/>
    </w:rPr>
  </w:style>
  <w:style w:type="character" w:customStyle="1" w:styleId="EndNoteBibliographyTitleZchn">
    <w:name w:val="EndNote Bibliography Title Zchn"/>
    <w:basedOn w:val="DefaultParagraphFont"/>
    <w:link w:val="EndNoteBibliographyTitle"/>
    <w:rsid w:val="00BC4855"/>
    <w:rPr>
      <w:rFonts w:ascii="Calibri" w:hAnsi="Calibri" w:cs="Calibri"/>
    </w:rPr>
  </w:style>
  <w:style w:type="paragraph" w:customStyle="1" w:styleId="EndNoteBibliography">
    <w:name w:val="EndNote Bibliography"/>
    <w:basedOn w:val="Normal"/>
    <w:link w:val="EndNoteBibliographyZchn"/>
    <w:rsid w:val="00BC4855"/>
    <w:pPr>
      <w:spacing w:line="240" w:lineRule="auto"/>
    </w:pPr>
    <w:rPr>
      <w:rFonts w:ascii="Calibri" w:hAnsi="Calibri" w:cs="Calibri"/>
    </w:rPr>
  </w:style>
  <w:style w:type="character" w:customStyle="1" w:styleId="EndNoteBibliographyZchn">
    <w:name w:val="EndNote Bibliography Zchn"/>
    <w:basedOn w:val="DefaultParagraphFont"/>
    <w:link w:val="EndNoteBibliography"/>
    <w:rsid w:val="00BC485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7283</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Erick_White</dc:creator>
  <cp:lastModifiedBy>Siegers, S.R. (Yayah)</cp:lastModifiedBy>
  <cp:revision>2</cp:revision>
  <dcterms:created xsi:type="dcterms:W3CDTF">2023-11-28T16:03:00Z</dcterms:created>
  <dcterms:modified xsi:type="dcterms:W3CDTF">2023-11-28T16:03:00Z</dcterms:modified>
</cp:coreProperties>
</file>